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仿宋_GB2312" w:eastAsia="仿宋_GB2312" w:cs="仿宋_GB2312"/>
          <w:bCs/>
          <w:sz w:val="28"/>
          <w:szCs w:val="28"/>
        </w:rPr>
      </w:pPr>
      <w:r>
        <w:rPr>
          <w:rFonts w:ascii="仿宋_GB2312" w:eastAsia="仿宋_GB2312"/>
          <w:sz w:val="28"/>
          <w:szCs w:val="28"/>
        </w:rPr>
        <w:drawing>
          <wp:inline distT="0" distB="0" distL="114300" distR="114300">
            <wp:extent cx="5653405" cy="8242935"/>
            <wp:effectExtent l="0" t="0" r="4445" b="5715"/>
            <wp:docPr id="1" name="图片 1" descr="国家级实验教学示范中心年度报告_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家级实验教学示范中心年度报告_2022"/>
                    <pic:cNvPicPr>
                      <a:picLocks noChangeAspect="1"/>
                    </pic:cNvPicPr>
                  </pic:nvPicPr>
                  <pic:blipFill>
                    <a:blip r:embed="rId5"/>
                    <a:srcRect l="10182" t="5093" r="10471" b="5512"/>
                    <a:stretch>
                      <a:fillRect/>
                    </a:stretch>
                  </pic:blipFill>
                  <pic:spPr>
                    <a:xfrm>
                      <a:off x="0" y="0"/>
                      <a:ext cx="5653405" cy="8242935"/>
                    </a:xfrm>
                    <a:prstGeom prst="rect">
                      <a:avLst/>
                    </a:prstGeom>
                  </pic:spPr>
                </pic:pic>
              </a:graphicData>
            </a:graphic>
          </wp:inline>
        </w:drawing>
      </w:r>
      <w:r>
        <w:rPr>
          <w:rFonts w:ascii="仿宋_GB2312" w:eastAsia="仿宋_GB2312"/>
          <w:sz w:val="28"/>
          <w:szCs w:val="28"/>
        </w:rPr>
        <w:br w:type="page"/>
      </w:r>
      <w:r>
        <w:rPr>
          <w:rFonts w:hint="eastAsia" w:ascii="黑体" w:hAnsi="黑体" w:eastAsia="黑体"/>
          <w:sz w:val="32"/>
          <w:szCs w:val="32"/>
        </w:rPr>
        <w:t xml:space="preserve">第一部分  </w:t>
      </w:r>
      <w:r>
        <w:rPr>
          <w:rFonts w:hint="eastAsia" w:ascii="黑体" w:hAnsi="黑体" w:eastAsia="黑体" w:cs="黑体"/>
          <w:bCs/>
          <w:sz w:val="32"/>
          <w:szCs w:val="32"/>
        </w:rPr>
        <w:t>年度报告编写提纲</w:t>
      </w:r>
    </w:p>
    <w:p>
      <w:pPr>
        <w:ind w:left="562"/>
        <w:rPr>
          <w:rFonts w:ascii="黑体" w:hAnsi="黑体" w:eastAsia="黑体" w:cs="仿宋_GB2312"/>
          <w:b/>
          <w:sz w:val="28"/>
          <w:szCs w:val="28"/>
        </w:rPr>
      </w:pPr>
      <w:r>
        <w:rPr>
          <w:rFonts w:hint="eastAsia" w:ascii="黑体" w:hAnsi="黑体" w:eastAsia="黑体" w:cs="仿宋_GB2312"/>
          <w:b/>
          <w:sz w:val="28"/>
          <w:szCs w:val="28"/>
        </w:rPr>
        <w:t>一、人才培养工作和成效</w:t>
      </w:r>
    </w:p>
    <w:p>
      <w:pPr>
        <w:ind w:firstLine="562" w:firstLineChars="200"/>
        <w:rPr>
          <w:rFonts w:ascii="楷体" w:hAnsi="楷体" w:eastAsia="楷体" w:cs="仿宋_GB2312"/>
          <w:b/>
          <w:sz w:val="28"/>
          <w:szCs w:val="28"/>
        </w:rPr>
      </w:pPr>
      <w:r>
        <w:rPr>
          <w:rFonts w:hint="eastAsia" w:ascii="楷体" w:hAnsi="楷体" w:eastAsia="楷体" w:cs="仿宋_GB2312"/>
          <w:b/>
          <w:sz w:val="28"/>
          <w:szCs w:val="28"/>
        </w:rPr>
        <w:t>（一）人才培养基本情况</w:t>
      </w:r>
    </w:p>
    <w:p>
      <w:pPr>
        <w:pStyle w:val="6"/>
        <w:spacing w:line="360" w:lineRule="auto"/>
        <w:ind w:firstLine="720" w:firstLineChars="300"/>
        <w:rPr>
          <w:rFonts w:ascii="宋体" w:hAnsi="宋体" w:eastAsia="宋体" w:cs="宋体"/>
        </w:rPr>
      </w:pPr>
      <w:r>
        <w:rPr>
          <w:rFonts w:hint="eastAsia" w:ascii="宋体" w:hAnsi="宋体" w:eastAsia="宋体" w:cs="宋体"/>
          <w:kern w:val="2"/>
        </w:rPr>
        <w:t>为响应国家经济发展战略，配合学校复合型、复语型特色大学的建设，跨国经济管理人才培养实验教学中心制定了新的发展目标：以培养国家战略急需的跨国经济管理人才为导向，紧紧围绕北京外国语大学“培养更多有家国情怀、有全球视野、有专业本领的复合型人才”的培养目标，以提高教育教学及人才培养质量为核心，以新文科建设为抓手，研发具有北外特色的实验教学产品，服务于我校经济管理学科国际化战略、服务于中国经济与中国企业全球化战略，建设具有北外特色的、现代化、综合性跨国经济管理人才培养实验教学中心。</w:t>
      </w:r>
    </w:p>
    <w:p>
      <w:pPr>
        <w:spacing w:line="360" w:lineRule="auto"/>
        <w:ind w:firstLine="720" w:firstLineChars="300"/>
        <w:jc w:val="left"/>
        <w:rPr>
          <w:rFonts w:ascii="宋体" w:hAnsi="宋体" w:eastAsia="宋体" w:cs="宋体"/>
        </w:rPr>
      </w:pPr>
      <w:r>
        <w:rPr>
          <w:rFonts w:hint="eastAsia" w:ascii="宋体" w:hAnsi="宋体" w:eastAsia="宋体" w:cs="宋体"/>
        </w:rPr>
        <w:t>从2021年9月开始,</w:t>
      </w:r>
      <w:r>
        <w:rPr>
          <w:rFonts w:ascii="宋体" w:hAnsi="宋体" w:eastAsia="宋体" w:cs="宋体"/>
        </w:rPr>
        <w:t xml:space="preserve"> 2020</w:t>
      </w:r>
      <w:r>
        <w:rPr>
          <w:rFonts w:hint="eastAsia" w:ascii="宋体" w:hAnsi="宋体" w:eastAsia="宋体" w:cs="宋体"/>
        </w:rPr>
        <w:t>版培养方案在国际商学院全面实施，为全体学生开设大数据及人工智能相关课程，促进各学科与新科技的交叉融合，重点打造专业“金课”，为人工智能领域培养具有北外特色的优质创新人才。同时，新文科研究与改革实践逐显成效，实现“科研型+实践型”双路径人才培养模式：1）通过“研究型学习项目”，鼓励学生立项，在教师指导下自主完成严谨的学术研究。2）</w:t>
      </w:r>
      <w:r>
        <w:rPr>
          <w:rFonts w:hint="eastAsia" w:ascii="宋体" w:hAnsi="宋体" w:eastAsia="宋体" w:cs="宋体"/>
          <w:snapToGrid w:val="0"/>
          <w:kern w:val="0"/>
        </w:rPr>
        <w:t>建立学生实训基地，</w:t>
      </w:r>
      <w:r>
        <w:rPr>
          <w:rFonts w:hint="eastAsia" w:ascii="宋体" w:hAnsi="宋体" w:eastAsia="宋体" w:cs="宋体"/>
        </w:rPr>
        <w:t>以“实践型学习项目”为抓手，先后组织两千余名中外学生参加各类企业实践活动，</w:t>
      </w:r>
      <w:r>
        <w:rPr>
          <w:rFonts w:hint="eastAsia" w:ascii="宋体" w:hAnsi="宋体" w:eastAsia="宋体" w:cs="宋体"/>
          <w:snapToGrid w:val="0"/>
          <w:kern w:val="0"/>
        </w:rPr>
        <w:t>坚持以提升学生解决实际问题能力为导向，培养出符合企业需求的高素质实践型商业人才。</w:t>
      </w:r>
    </w:p>
    <w:p>
      <w:pPr>
        <w:spacing w:line="360" w:lineRule="auto"/>
        <w:ind w:firstLine="480" w:firstLineChars="200"/>
        <w:rPr>
          <w:rFonts w:cs="仿宋_GB2312" w:asciiTheme="minorEastAsia" w:hAnsiTheme="minorEastAsia"/>
        </w:rPr>
      </w:pPr>
      <w:r>
        <w:rPr>
          <w:rFonts w:hint="eastAsia" w:ascii="宋体" w:hAnsi="宋体" w:eastAsia="宋体" w:cs="宋体"/>
        </w:rPr>
        <w:t>在操作层面，本中心</w:t>
      </w:r>
      <w:r>
        <w:rPr>
          <w:rFonts w:hint="eastAsia" w:cs="仿宋_GB2312" w:asciiTheme="minorEastAsia" w:hAnsiTheme="minorEastAsia"/>
        </w:rPr>
        <w:t>以学生为主体，教师为主导，根据不同学科的特点，灵活运用各种教学方法，充分调动学生的学习积极性。中心服务</w:t>
      </w:r>
      <w:r>
        <w:rPr>
          <w:rFonts w:cs="仿宋_GB2312" w:asciiTheme="minorEastAsia" w:hAnsiTheme="minorEastAsia"/>
        </w:rPr>
        <w:t>于学生，</w:t>
      </w:r>
      <w:r>
        <w:rPr>
          <w:rFonts w:hint="eastAsia" w:cs="仿宋_GB2312" w:asciiTheme="minorEastAsia" w:hAnsiTheme="minorEastAsia"/>
        </w:rPr>
        <w:t>依托校内服务</w:t>
      </w:r>
      <w:r>
        <w:rPr>
          <w:rFonts w:cs="仿宋_GB2312" w:asciiTheme="minorEastAsia" w:hAnsiTheme="minorEastAsia"/>
        </w:rPr>
        <w:t>器，</w:t>
      </w:r>
      <w:r>
        <w:rPr>
          <w:rFonts w:hint="eastAsia" w:cs="仿宋_GB2312" w:asciiTheme="minorEastAsia" w:hAnsiTheme="minorEastAsia"/>
        </w:rPr>
        <w:t>学生可</w:t>
      </w:r>
      <w:r>
        <w:rPr>
          <w:rFonts w:cs="仿宋_GB2312" w:asciiTheme="minorEastAsia" w:hAnsiTheme="minorEastAsia"/>
        </w:rPr>
        <w:t>以</w:t>
      </w:r>
      <w:r>
        <w:rPr>
          <w:rFonts w:hint="eastAsia" w:cs="仿宋_GB2312" w:asciiTheme="minorEastAsia" w:hAnsiTheme="minorEastAsia"/>
        </w:rPr>
        <w:t>在任何时间、</w:t>
      </w:r>
      <w:r>
        <w:rPr>
          <w:rFonts w:cs="仿宋_GB2312" w:asciiTheme="minorEastAsia" w:hAnsiTheme="minorEastAsia"/>
        </w:rPr>
        <w:t>校内</w:t>
      </w:r>
      <w:r>
        <w:rPr>
          <w:rFonts w:hint="eastAsia" w:cs="仿宋_GB2312" w:asciiTheme="minorEastAsia" w:hAnsiTheme="minorEastAsia"/>
        </w:rPr>
        <w:t>任何</w:t>
      </w:r>
      <w:r>
        <w:rPr>
          <w:rFonts w:cs="仿宋_GB2312" w:asciiTheme="minorEastAsia" w:hAnsiTheme="minorEastAsia"/>
        </w:rPr>
        <w:t>地点</w:t>
      </w:r>
      <w:r>
        <w:rPr>
          <w:rFonts w:hint="eastAsia" w:cs="仿宋_GB2312" w:asciiTheme="minorEastAsia" w:hAnsiTheme="minorEastAsia"/>
        </w:rPr>
        <w:t>通过</w:t>
      </w:r>
      <w:r>
        <w:rPr>
          <w:rFonts w:cs="仿宋_GB2312" w:asciiTheme="minorEastAsia" w:hAnsiTheme="minorEastAsia"/>
        </w:rPr>
        <w:t>学校的局域网登录</w:t>
      </w:r>
      <w:r>
        <w:rPr>
          <w:rFonts w:hint="eastAsia" w:cs="仿宋_GB2312" w:asciiTheme="minorEastAsia" w:hAnsiTheme="minorEastAsia"/>
        </w:rPr>
        <w:t>中心服务器进行实验。同时，学校强化实验室开放式管理，制定了相应的实验室开放管理制度和学生自主实验室管理条例，鼓励师生积极参与实验室的开放工作，实现了实验室完全开放。在充分利用现有的实验教学资源的基础上，通过网络技术等现代化的教学手段，采用大数据，云平台，多媒体等相结合，充分使用网络教学资源等方法方便学生学习实验内容，加深学生对基础理论和方法的理解增加学生动手实验的机会，增强实验教学效果。</w:t>
      </w:r>
    </w:p>
    <w:p>
      <w:pPr>
        <w:ind w:firstLine="562" w:firstLineChars="200"/>
        <w:rPr>
          <w:rFonts w:ascii="楷体" w:hAnsi="楷体" w:eastAsia="楷体" w:cs="仿宋_GB2312"/>
          <w:b/>
          <w:sz w:val="28"/>
          <w:szCs w:val="28"/>
        </w:rPr>
      </w:pPr>
      <w:r>
        <w:rPr>
          <w:rFonts w:hint="eastAsia" w:ascii="楷体" w:hAnsi="楷体" w:eastAsia="楷体" w:cs="仿宋_GB2312"/>
          <w:b/>
          <w:sz w:val="28"/>
          <w:szCs w:val="28"/>
        </w:rPr>
        <w:t>（二）人才培养成效评价</w:t>
      </w:r>
    </w:p>
    <w:p>
      <w:pPr>
        <w:pStyle w:val="6"/>
        <w:spacing w:line="440" w:lineRule="exact"/>
        <w:ind w:firstLine="480" w:firstLineChars="200"/>
        <w:rPr>
          <w:rFonts w:ascii="宋体" w:hAnsi="宋体" w:eastAsia="宋体" w:cs="宋体"/>
          <w:kern w:val="2"/>
        </w:rPr>
      </w:pPr>
      <w:r>
        <w:rPr>
          <w:rFonts w:hint="eastAsia" w:ascii="宋体" w:hAnsi="宋体" w:eastAsia="宋体" w:cs="宋体"/>
          <w:kern w:val="2"/>
        </w:rPr>
        <w:t>学校在规范管理的课程实验教学基础上，将部分理论讲解转化为过程指导。通过Blackboard教学平台和各类教学软件的使用，学生能够在实验课程前进行网上预习并熟悉操作要求，节约了教师部分理论讲解时间，强化了过程指导。过程指导的教学方法可以实现个性化教学，提高了教学的效率和效果，也激发了学生学习的积极性。</w:t>
      </w:r>
    </w:p>
    <w:p>
      <w:pPr>
        <w:pStyle w:val="6"/>
        <w:spacing w:line="440" w:lineRule="exact"/>
        <w:ind w:firstLine="480" w:firstLineChars="200"/>
        <w:rPr>
          <w:rFonts w:ascii="宋体" w:hAnsi="宋体" w:eastAsia="宋体" w:cs="宋体"/>
          <w:kern w:val="2"/>
        </w:rPr>
      </w:pPr>
      <w:r>
        <w:rPr>
          <w:rFonts w:hint="eastAsia" w:ascii="宋体" w:hAnsi="宋体" w:eastAsia="宋体" w:cs="宋体"/>
          <w:kern w:val="2"/>
        </w:rPr>
        <w:t>学生从被动的接受转化为主动的学习。在实验课上以学生动手为主，靠的是独立的思考，老师只是解答问题和个别指导。这样的学习方法可以培养学生独立思考的能力，同时也是培养学生动手能力的最佳途径，老师可以及时了解学生对问题的理解和掌握情况。</w:t>
      </w:r>
    </w:p>
    <w:p>
      <w:pPr>
        <w:pStyle w:val="6"/>
        <w:spacing w:line="440" w:lineRule="exact"/>
        <w:ind w:firstLine="480" w:firstLineChars="200"/>
        <w:rPr>
          <w:rFonts w:ascii="宋体" w:hAnsi="宋体" w:eastAsia="宋体" w:cs="宋体"/>
          <w:kern w:val="2"/>
        </w:rPr>
      </w:pPr>
      <w:r>
        <w:rPr>
          <w:rFonts w:hint="eastAsia" w:ascii="宋体" w:hAnsi="宋体" w:eastAsia="宋体" w:cs="宋体"/>
          <w:kern w:val="2"/>
        </w:rPr>
        <w:t>实验教学大大地提高了学生的动手能力。学生在指导教师的帮助下，大量参加国内外商业模拟大赛，取得了诸多优异的成绩。较为突出的有：</w:t>
      </w:r>
    </w:p>
    <w:p>
      <w:pPr>
        <w:pStyle w:val="6"/>
        <w:spacing w:line="440" w:lineRule="exact"/>
        <w:ind w:firstLine="480" w:firstLineChars="200"/>
        <w:rPr>
          <w:rFonts w:ascii="宋体" w:hAnsi="宋体" w:eastAsia="宋体" w:cs="宋体"/>
          <w:kern w:val="2"/>
        </w:rPr>
      </w:pPr>
      <w:r>
        <w:rPr>
          <w:rFonts w:hint="eastAsia" w:ascii="宋体" w:hAnsi="宋体" w:eastAsia="宋体" w:cs="宋体"/>
          <w:kern w:val="2"/>
        </w:rPr>
        <w:t>202</w:t>
      </w:r>
      <w:r>
        <w:rPr>
          <w:rFonts w:ascii="宋体" w:hAnsi="宋体" w:eastAsia="宋体" w:cs="宋体"/>
          <w:kern w:val="2"/>
        </w:rPr>
        <w:t>2</w:t>
      </w:r>
      <w:r>
        <w:rPr>
          <w:rFonts w:hint="eastAsia" w:ascii="宋体" w:hAnsi="宋体" w:eastAsia="宋体" w:cs="宋体"/>
          <w:kern w:val="2"/>
        </w:rPr>
        <w:t>年，</w:t>
      </w:r>
      <w:r>
        <w:rPr>
          <w:rFonts w:ascii="宋体" w:hAnsi="宋体" w:eastAsia="宋体" w:cs="宋体"/>
          <w:kern w:val="2"/>
        </w:rPr>
        <w:t>第十二届全国大学生电子商务“创新、创意及创业”挑战赛跨境电商实战赛综合赛（总决赛）</w:t>
      </w:r>
      <w:r>
        <w:rPr>
          <w:rFonts w:hint="eastAsia" w:ascii="宋体" w:hAnsi="宋体" w:eastAsia="宋体" w:cs="宋体"/>
          <w:kern w:val="2"/>
        </w:rPr>
        <w:t>，北外国际商学院两个团队分获“三创赛”实战赛总决赛一等奖和二等奖。</w:t>
      </w:r>
    </w:p>
    <w:p>
      <w:pPr>
        <w:pStyle w:val="6"/>
        <w:spacing w:line="440" w:lineRule="exact"/>
        <w:ind w:firstLine="480" w:firstLineChars="200"/>
        <w:rPr>
          <w:rFonts w:ascii="宋体" w:hAnsi="宋体" w:eastAsia="宋体" w:cs="宋体"/>
          <w:kern w:val="2"/>
        </w:rPr>
      </w:pPr>
      <w:r>
        <w:rPr>
          <w:rFonts w:hint="eastAsia" w:ascii="宋体" w:hAnsi="宋体" w:eastAsia="宋体" w:cs="宋体"/>
          <w:kern w:val="2"/>
        </w:rPr>
        <w:t>2</w:t>
      </w:r>
      <w:r>
        <w:rPr>
          <w:rFonts w:ascii="宋体" w:hAnsi="宋体" w:eastAsia="宋体" w:cs="宋体"/>
          <w:kern w:val="2"/>
        </w:rPr>
        <w:t>022</w:t>
      </w:r>
      <w:r>
        <w:rPr>
          <w:rFonts w:hint="eastAsia" w:ascii="宋体" w:hAnsi="宋体" w:eastAsia="宋体" w:cs="宋体"/>
          <w:kern w:val="2"/>
        </w:rPr>
        <w:t>年．国际商学院学生获得第八届中国国际“互联网+”大学生创新创业大赛北京赛区复赛高教主赛道一等奖。</w:t>
      </w:r>
    </w:p>
    <w:p>
      <w:pPr>
        <w:pStyle w:val="6"/>
        <w:spacing w:line="440" w:lineRule="exact"/>
        <w:ind w:firstLine="480" w:firstLineChars="200"/>
        <w:rPr>
          <w:rFonts w:ascii="宋体" w:hAnsi="宋体" w:eastAsia="宋体" w:cs="宋体"/>
          <w:kern w:val="2"/>
        </w:rPr>
      </w:pPr>
      <w:r>
        <w:rPr>
          <w:rFonts w:hint="eastAsia" w:ascii="宋体" w:hAnsi="宋体" w:eastAsia="宋体" w:cs="宋体"/>
          <w:kern w:val="2"/>
        </w:rPr>
        <w:t>202</w:t>
      </w:r>
      <w:r>
        <w:rPr>
          <w:rFonts w:ascii="宋体" w:hAnsi="宋体" w:eastAsia="宋体" w:cs="宋体"/>
          <w:kern w:val="2"/>
        </w:rPr>
        <w:t>2</w:t>
      </w:r>
      <w:r>
        <w:rPr>
          <w:rFonts w:hint="eastAsia" w:ascii="宋体" w:hAnsi="宋体" w:eastAsia="宋体" w:cs="宋体"/>
          <w:kern w:val="2"/>
        </w:rPr>
        <w:t>年，国际商学院来华留学生参加首届世界青年发展论坛。</w:t>
      </w:r>
    </w:p>
    <w:p>
      <w:pPr>
        <w:pStyle w:val="6"/>
        <w:spacing w:line="440" w:lineRule="exact"/>
        <w:ind w:firstLine="480" w:firstLineChars="200"/>
        <w:rPr>
          <w:rFonts w:ascii="宋体" w:hAnsi="宋体" w:eastAsia="宋体" w:cs="宋体"/>
          <w:kern w:val="2"/>
        </w:rPr>
      </w:pPr>
      <w:r>
        <w:rPr>
          <w:rFonts w:hint="eastAsia" w:ascii="宋体" w:hAnsi="宋体" w:eastAsia="宋体" w:cs="宋体"/>
          <w:kern w:val="2"/>
        </w:rPr>
        <w:t>2</w:t>
      </w:r>
      <w:r>
        <w:rPr>
          <w:rFonts w:ascii="宋体" w:hAnsi="宋体" w:eastAsia="宋体" w:cs="宋体"/>
          <w:kern w:val="2"/>
        </w:rPr>
        <w:t>022</w:t>
      </w:r>
      <w:r>
        <w:rPr>
          <w:rFonts w:hint="eastAsia" w:ascii="宋体" w:hAnsi="宋体" w:eastAsia="宋体" w:cs="宋体"/>
          <w:kern w:val="2"/>
        </w:rPr>
        <w:t>年，</w:t>
      </w:r>
      <w:r>
        <w:rPr>
          <w:rFonts w:ascii="宋体" w:hAnsi="宋体" w:eastAsia="宋体" w:cs="宋体"/>
          <w:kern w:val="2"/>
        </w:rPr>
        <w:t>2022年I-CEE全球商业案例研究论坛</w:t>
      </w:r>
      <w:r>
        <w:rPr>
          <w:rFonts w:hint="eastAsia" w:ascii="宋体" w:hAnsi="宋体" w:eastAsia="宋体" w:cs="宋体"/>
          <w:kern w:val="2"/>
        </w:rPr>
        <w:t>，北外MBA学生获得I-CEE案例大赛一等奖。</w:t>
      </w:r>
    </w:p>
    <w:p>
      <w:pPr>
        <w:ind w:left="562"/>
        <w:rPr>
          <w:rFonts w:ascii="宋体" w:hAnsi="宋体" w:eastAsia="宋体" w:cs="宋体"/>
        </w:rPr>
      </w:pPr>
    </w:p>
    <w:p>
      <w:pPr>
        <w:ind w:left="562"/>
        <w:rPr>
          <w:rFonts w:ascii="黑体" w:hAnsi="黑体" w:eastAsia="黑体" w:cs="仿宋_GB2312"/>
          <w:b/>
          <w:sz w:val="28"/>
          <w:szCs w:val="28"/>
        </w:rPr>
      </w:pPr>
      <w:r>
        <w:rPr>
          <w:rFonts w:hint="eastAsia" w:ascii="黑体" w:hAnsi="黑体" w:eastAsia="黑体" w:cs="仿宋_GB2312"/>
          <w:b/>
          <w:sz w:val="28"/>
          <w:szCs w:val="28"/>
        </w:rPr>
        <w:t>二、人才队伍建设</w:t>
      </w:r>
    </w:p>
    <w:p>
      <w:pPr>
        <w:pStyle w:val="29"/>
        <w:spacing w:line="440" w:lineRule="exact"/>
        <w:ind w:firstLine="561" w:firstLineChars="0"/>
        <w:rPr>
          <w:rFonts w:ascii="宋体" w:hAnsi="宋体" w:eastAsia="宋体" w:cs="宋体"/>
          <w:sz w:val="24"/>
          <w:szCs w:val="24"/>
        </w:rPr>
      </w:pPr>
      <w:r>
        <w:rPr>
          <w:rFonts w:hint="eastAsia" w:ascii="宋体" w:hAnsi="宋体" w:eastAsia="宋体" w:cs="宋体"/>
          <w:sz w:val="24"/>
          <w:szCs w:val="24"/>
        </w:rPr>
        <w:t>中心由各院系分管教学的负责人作为实验教学方向领衔人，下设小组成员，指导和建设各专业的课程实验教学、专业和毕业实习，从而形成稳定的专业实验教学团队。</w:t>
      </w:r>
    </w:p>
    <w:p>
      <w:pPr>
        <w:pStyle w:val="29"/>
        <w:numPr>
          <w:ilvl w:val="0"/>
          <w:numId w:val="1"/>
        </w:numPr>
        <w:spacing w:line="440" w:lineRule="exact"/>
        <w:ind w:firstLineChars="0"/>
        <w:rPr>
          <w:rFonts w:ascii="宋体" w:hAnsi="宋体" w:eastAsia="宋体" w:cs="宋体"/>
          <w:sz w:val="24"/>
          <w:szCs w:val="24"/>
        </w:rPr>
      </w:pPr>
      <w:r>
        <w:rPr>
          <w:rFonts w:hint="eastAsia" w:ascii="宋体" w:hAnsi="宋体" w:eastAsia="宋体" w:cs="宋体"/>
          <w:sz w:val="24"/>
          <w:szCs w:val="24"/>
        </w:rPr>
        <w:t>本中心实验教学团队是一支政治素质过硬、专业能力精湛、结构合理的中、青年相结合的教学科研队伍，共有来自经济、管理、教育等多个学科核心成员30余人，包括1</w:t>
      </w:r>
      <w:r>
        <w:rPr>
          <w:rFonts w:ascii="宋体" w:hAnsi="宋体" w:eastAsia="宋体" w:cs="宋体"/>
          <w:sz w:val="24"/>
          <w:szCs w:val="24"/>
        </w:rPr>
        <w:t>4</w:t>
      </w:r>
      <w:r>
        <w:rPr>
          <w:rFonts w:hint="eastAsia" w:ascii="宋体" w:hAnsi="宋体" w:eastAsia="宋体" w:cs="宋体"/>
          <w:sz w:val="24"/>
          <w:szCs w:val="24"/>
        </w:rPr>
        <w:t>位教授、1</w:t>
      </w:r>
      <w:r>
        <w:rPr>
          <w:rFonts w:ascii="宋体" w:hAnsi="宋体" w:eastAsia="宋体" w:cs="宋体"/>
          <w:sz w:val="24"/>
          <w:szCs w:val="24"/>
        </w:rPr>
        <w:t>4</w:t>
      </w:r>
      <w:r>
        <w:rPr>
          <w:rFonts w:hint="eastAsia" w:ascii="宋体" w:hAnsi="宋体" w:eastAsia="宋体" w:cs="宋体"/>
          <w:sz w:val="24"/>
          <w:szCs w:val="24"/>
        </w:rPr>
        <w:t>位副教授和多位讲师，年龄从30多岁至50多岁不等。202</w:t>
      </w:r>
      <w:r>
        <w:rPr>
          <w:rFonts w:ascii="宋体" w:hAnsi="宋体" w:eastAsia="宋体" w:cs="宋体"/>
          <w:sz w:val="24"/>
          <w:szCs w:val="24"/>
        </w:rPr>
        <w:t>2</w:t>
      </w:r>
      <w:r>
        <w:rPr>
          <w:rFonts w:hint="eastAsia" w:ascii="宋体" w:hAnsi="宋体" w:eastAsia="宋体" w:cs="宋体"/>
          <w:sz w:val="24"/>
          <w:szCs w:val="24"/>
        </w:rPr>
        <w:t>年，国际商学院继续引进高质量人才，三名毕业于中国人民大学、对外经济贸易大学、中央财经大学的优秀博士为国际商学院 “人工智能+商科”交叉学科研究团队的重要成员。</w:t>
      </w:r>
    </w:p>
    <w:p>
      <w:pPr>
        <w:pStyle w:val="29"/>
        <w:numPr>
          <w:ilvl w:val="0"/>
          <w:numId w:val="1"/>
        </w:numPr>
        <w:spacing w:line="440" w:lineRule="exact"/>
        <w:ind w:firstLineChars="0"/>
        <w:jc w:val="left"/>
        <w:rPr>
          <w:rFonts w:ascii="宋体" w:hAnsi="宋体" w:eastAsia="宋体" w:cs="宋体"/>
          <w:sz w:val="24"/>
          <w:szCs w:val="24"/>
        </w:rPr>
      </w:pPr>
      <w:r>
        <w:rPr>
          <w:rFonts w:hint="eastAsia" w:ascii="宋体" w:hAnsi="宋体" w:eastAsia="宋体" w:cs="宋体"/>
          <w:sz w:val="24"/>
          <w:szCs w:val="24"/>
        </w:rPr>
        <w:t>本中心实验教学团队以北京外国语大学多语种、多区域、跨文化的人才培养优势为依托，以分类卓越为指导思想，注重在教学和科研中培养创新型和实践型人才，探索并形成了一整套以学生为中心，以“夯实专业基础、开发国际视野、激发探索能力、追求分类卓越”为特色的专业人才培养体系。2</w:t>
      </w:r>
      <w:r>
        <w:rPr>
          <w:rFonts w:ascii="宋体" w:hAnsi="宋体" w:eastAsia="宋体" w:cs="宋体"/>
          <w:sz w:val="24"/>
          <w:szCs w:val="24"/>
        </w:rPr>
        <w:t>022</w:t>
      </w:r>
      <w:r>
        <w:rPr>
          <w:rFonts w:hint="eastAsia" w:ascii="宋体" w:hAnsi="宋体" w:eastAsia="宋体" w:cs="宋体"/>
          <w:sz w:val="24"/>
          <w:szCs w:val="24"/>
        </w:rPr>
        <w:t>年6月，国际商学院全部六个本科专业（金融学、信息管理与信息系统、工商管理、电子商务、国际经济与贸易、会计学）获批国家级一流本科专业建设点。依托2020本科培养方案，国际商学院将聚焦本科专业建设，优化专业布局结构，加强教师队伍建设，综合提升教育教学水平。</w:t>
      </w:r>
    </w:p>
    <w:p>
      <w:pPr>
        <w:pStyle w:val="29"/>
        <w:numPr>
          <w:ilvl w:val="0"/>
          <w:numId w:val="1"/>
        </w:numPr>
        <w:spacing w:line="440" w:lineRule="exact"/>
        <w:ind w:firstLineChars="0"/>
        <w:rPr>
          <w:rFonts w:ascii="宋体" w:hAnsi="宋体" w:eastAsia="宋体" w:cs="宋体"/>
          <w:sz w:val="24"/>
          <w:szCs w:val="24"/>
        </w:rPr>
      </w:pPr>
      <w:r>
        <w:rPr>
          <w:rFonts w:hint="eastAsia" w:ascii="宋体" w:hAnsi="宋体" w:eastAsia="宋体" w:cs="宋体"/>
          <w:sz w:val="24"/>
          <w:szCs w:val="24"/>
        </w:rPr>
        <w:t>在实验教学技能的培训与考核方面，由教务处、人事处、信息技术中心共同组织并负责完成专业课教师实验教学技能的培训和考核，积极实施专业教师实验教学技能认证制度。通过培训，使广大教师熟知学校的实验教学理念与改革思路，了解实验教学体系的基本架构、实验教学定位及规划，掌握各种现代教育媒体、本专业应用软件的性能、特点和使用方法，提高实验教学的能力。</w:t>
      </w:r>
    </w:p>
    <w:p>
      <w:pPr>
        <w:pStyle w:val="29"/>
        <w:numPr>
          <w:ilvl w:val="0"/>
          <w:numId w:val="1"/>
        </w:numPr>
        <w:spacing w:line="440" w:lineRule="exact"/>
        <w:ind w:firstLineChars="0"/>
        <w:rPr>
          <w:rFonts w:ascii="宋体" w:hAnsi="宋体" w:eastAsia="宋体" w:cs="宋体"/>
        </w:rPr>
      </w:pPr>
      <w:r>
        <w:rPr>
          <w:rFonts w:hint="eastAsia" w:ascii="宋体" w:hAnsi="宋体" w:eastAsia="宋体" w:cs="宋体"/>
          <w:sz w:val="24"/>
          <w:szCs w:val="24"/>
        </w:rPr>
        <w:t>在技术支持层面，中心选派实验管理和技术人员到兄弟院校交流学习和定期进行业务学习，鼓励和支持实验技术人员参加科研课题组，以达到提高实验室管理和技术人员的业务素质及管理水平的目的。</w:t>
      </w:r>
    </w:p>
    <w:p>
      <w:pPr>
        <w:pStyle w:val="29"/>
        <w:spacing w:line="440" w:lineRule="exact"/>
        <w:ind w:firstLine="0" w:firstLineChars="0"/>
        <w:rPr>
          <w:rFonts w:cs="仿宋_GB2312" w:asciiTheme="minorEastAsia" w:hAnsiTheme="minorEastAsia"/>
          <w:kern w:val="0"/>
          <w:sz w:val="28"/>
          <w:szCs w:val="28"/>
        </w:rPr>
      </w:pPr>
    </w:p>
    <w:p>
      <w:pPr>
        <w:ind w:left="562"/>
        <w:rPr>
          <w:rFonts w:ascii="黑体" w:hAnsi="黑体" w:eastAsia="黑体" w:cs="仿宋_GB2312"/>
          <w:b/>
          <w:sz w:val="28"/>
          <w:szCs w:val="28"/>
        </w:rPr>
      </w:pPr>
    </w:p>
    <w:p>
      <w:pPr>
        <w:ind w:left="562"/>
        <w:rPr>
          <w:rFonts w:ascii="黑体" w:hAnsi="黑体" w:eastAsia="黑体" w:cs="仿宋_GB2312"/>
          <w:b/>
          <w:sz w:val="28"/>
          <w:szCs w:val="28"/>
        </w:rPr>
      </w:pPr>
      <w:r>
        <w:rPr>
          <w:rFonts w:hint="eastAsia" w:ascii="黑体" w:hAnsi="黑体" w:eastAsia="黑体" w:cs="仿宋_GB2312"/>
          <w:b/>
          <w:sz w:val="28"/>
          <w:szCs w:val="28"/>
        </w:rPr>
        <w:t>三、教学改革与科学研究</w:t>
      </w:r>
    </w:p>
    <w:p>
      <w:pPr>
        <w:ind w:firstLine="562" w:firstLineChars="200"/>
        <w:rPr>
          <w:rFonts w:ascii="楷体" w:hAnsi="楷体" w:eastAsia="楷体" w:cs="仿宋_GB2312"/>
          <w:b/>
          <w:sz w:val="28"/>
          <w:szCs w:val="28"/>
        </w:rPr>
      </w:pPr>
      <w:r>
        <w:rPr>
          <w:rFonts w:hint="eastAsia" w:ascii="楷体" w:hAnsi="楷体" w:eastAsia="楷体" w:cs="仿宋_GB2312"/>
          <w:b/>
          <w:sz w:val="28"/>
          <w:szCs w:val="28"/>
        </w:rPr>
        <w:t>教学改革立项、进展、完成等情况</w:t>
      </w:r>
    </w:p>
    <w:p>
      <w:pPr>
        <w:spacing w:line="360" w:lineRule="auto"/>
        <w:ind w:firstLine="720" w:firstLineChars="3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本实验示范中心积极吸纳院内中青年骨干教师参与示范中心的建设，组建一支积极探索经济管理学科服务于国家战略的教师团队，</w:t>
      </w:r>
      <w:r>
        <w:rPr>
          <w:rFonts w:hint="eastAsia" w:asciiTheme="minorEastAsia" w:hAnsiTheme="minorEastAsia" w:eastAsiaTheme="minorEastAsia" w:cstheme="minorEastAsia"/>
          <w:snapToGrid w:val="0"/>
          <w:kern w:val="0"/>
          <w:sz w:val="24"/>
          <w:szCs w:val="24"/>
        </w:rPr>
        <w:t>整个团队具有崇高的理想信念，坚定的政治立场和过硬的政治素质，拥有强烈的家国情怀、科研精神和创新能力，有志于为建设新时代具有中国特色的商科教育事业无私奉献，立足本职岗位，凝聚团队力量，在师德师风、教育教学、科研创新、社会服务等方面都取得了可喜成绩。</w:t>
      </w:r>
    </w:p>
    <w:p>
      <w:pPr>
        <w:spacing w:line="360" w:lineRule="auto"/>
        <w:ind w:firstLine="720" w:firstLineChars="3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kern w:val="0"/>
          <w:sz w:val="24"/>
          <w:szCs w:val="24"/>
        </w:rPr>
        <w:t>示范中心教学团队核心成员杨丹教授带领团队，总结北外多年复合型人才培养的优秀经验，立足家国情怀、全球视野和全球胜任力培养，探索并实践“多语种人才全球胜任力培养的北外模式”，先后获得北京市高等教育教学成果奖特等奖和高等教育（本科）国家级教学成果奖一等奖。在2022年，</w:t>
      </w:r>
      <w:r>
        <w:rPr>
          <w:rFonts w:hint="eastAsia" w:asciiTheme="minorEastAsia" w:hAnsiTheme="minorEastAsia" w:eastAsiaTheme="minorEastAsia" w:cstheme="minorEastAsia"/>
          <w:sz w:val="24"/>
          <w:szCs w:val="24"/>
        </w:rPr>
        <w:t>团队中另有一位老师获评2022年北京高校优质本科课程，5位老师获得“北京外国语大学教学改革项目”立项，一位老师获得校级习近平谈治国理政多语种版本“三进”工作专题课程建设项目立项</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sz w:val="24"/>
          <w:szCs w:val="24"/>
        </w:rPr>
        <w:t>此外，有一支本科教学团队获评“2022年北京外国语大学优秀基层教学团队”，一位老师获得“2022年北京外国语大学青年教学名师”的荣誉称号。</w:t>
      </w:r>
    </w:p>
    <w:p>
      <w:pPr>
        <w:spacing w:line="360" w:lineRule="auto"/>
        <w:ind w:firstLine="720" w:firstLineChars="300"/>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此外，团队探索深化国际商学院“科研型+实践型”双路径人才培养模式改革。对于科研型培养路径，团队新增高阶理论课程，鼓励学生在教师指导下自主完成学术研究。对于实践型培养路径，团队先后与中国电信等百余家企业签订合作协议，建立实训基地，组织近百场企业参访活动，并发表中英文商业案例。</w:t>
      </w:r>
    </w:p>
    <w:p>
      <w:pPr>
        <w:tabs>
          <w:tab w:val="left" w:pos="2505"/>
        </w:tabs>
        <w:spacing w:line="360" w:lineRule="auto"/>
        <w:ind w:firstLine="720" w:firstLineChars="300"/>
        <w:rPr>
          <w:rFonts w:ascii="Times" w:hAnsi="Times"/>
          <w:snapToGrid w:val="0"/>
          <w:kern w:val="0"/>
        </w:rPr>
      </w:pPr>
    </w:p>
    <w:p>
      <w:pPr>
        <w:ind w:left="562"/>
        <w:rPr>
          <w:rFonts w:ascii="黑体" w:hAnsi="黑体" w:eastAsia="黑体" w:cs="仿宋_GB2312"/>
          <w:b/>
          <w:sz w:val="28"/>
          <w:szCs w:val="28"/>
        </w:rPr>
      </w:pPr>
      <w:r>
        <w:rPr>
          <w:rFonts w:hint="eastAsia" w:ascii="黑体" w:hAnsi="黑体" w:eastAsia="黑体" w:cs="仿宋_GB2312"/>
          <w:b/>
          <w:sz w:val="28"/>
          <w:szCs w:val="28"/>
        </w:rPr>
        <w:t>四、信息化建设、开放运行和示范辐射</w:t>
      </w:r>
    </w:p>
    <w:p>
      <w:pPr>
        <w:ind w:firstLine="562" w:firstLineChars="200"/>
        <w:rPr>
          <w:rFonts w:ascii="楷体" w:hAnsi="楷体" w:eastAsia="楷体" w:cs="仿宋_GB2312"/>
          <w:b/>
          <w:sz w:val="28"/>
          <w:szCs w:val="28"/>
        </w:rPr>
      </w:pPr>
      <w:r>
        <w:rPr>
          <w:rFonts w:hint="eastAsia" w:ascii="楷体" w:hAnsi="楷体" w:eastAsia="楷体" w:cs="仿宋_GB2312"/>
          <w:b/>
          <w:sz w:val="28"/>
          <w:szCs w:val="28"/>
        </w:rPr>
        <w:t>（一）信息化资源、平台建设，人员信息化能力提升等情况。</w:t>
      </w:r>
    </w:p>
    <w:p>
      <w:pPr>
        <w:spacing w:line="440" w:lineRule="exact"/>
        <w:rPr>
          <w:rFonts w:hint="eastAsia" w:ascii="宋体" w:hAnsi="宋体" w:eastAsia="宋体" w:cs="宋体"/>
          <w:kern w:val="0"/>
          <w:sz w:val="24"/>
          <w:szCs w:val="24"/>
        </w:rPr>
      </w:pPr>
      <w:r>
        <w:rPr>
          <w:rFonts w:hint="eastAsia" w:cs="仿宋_GB2312" w:asciiTheme="minorEastAsia" w:hAnsiTheme="minorEastAsia"/>
          <w:kern w:val="0"/>
          <w:sz w:val="28"/>
          <w:szCs w:val="28"/>
        </w:rPr>
        <w:t xml:space="preserve">   </w:t>
      </w:r>
      <w:r>
        <w:rPr>
          <w:rFonts w:hint="eastAsia" w:ascii="宋体" w:hAnsi="宋体" w:eastAsia="宋体" w:cs="宋体"/>
          <w:kern w:val="0"/>
          <w:sz w:val="24"/>
          <w:szCs w:val="24"/>
        </w:rPr>
        <w:t xml:space="preserve"> 目前，</w:t>
      </w:r>
      <w:r>
        <w:rPr>
          <w:rFonts w:hint="eastAsia" w:ascii="宋体" w:hAnsi="宋体" w:eastAsia="宋体" w:cs="宋体"/>
          <w:sz w:val="24"/>
          <w:szCs w:val="24"/>
        </w:rPr>
        <w:t>跨国经济管理人才培养实验教学中心</w:t>
      </w:r>
      <w:r>
        <w:rPr>
          <w:rFonts w:hint="eastAsia" w:ascii="宋体" w:hAnsi="宋体" w:eastAsia="宋体" w:cs="宋体"/>
          <w:kern w:val="0"/>
          <w:sz w:val="24"/>
          <w:szCs w:val="24"/>
        </w:rPr>
        <w:t xml:space="preserve">每年接纳院、校经济管理类学生1200多人，为北京外国语大学经济管理类学科的本科和硕士等各个层面学生开设了企业决策模拟、计量经济模型、电子商务系统开发等有特色的实验课程。通过实验课程，一方面培养促进在校生理论联系实际能力和创新能力，另一方面为教师提供了优异的科研环境，通过对各种资源的有效整合，促进教学科研成果的产业化，提高了教学团队的科研水平，获得了更好的办学效益。 </w:t>
      </w:r>
    </w:p>
    <w:p>
      <w:pPr>
        <w:spacing w:line="440" w:lineRule="exact"/>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spacing w:line="440" w:lineRule="exact"/>
        <w:rPr>
          <w:rFonts w:hint="eastAsia" w:ascii="宋体" w:hAnsi="宋体" w:eastAsia="宋体" w:cs="宋体"/>
          <w:kern w:val="0"/>
          <w:sz w:val="24"/>
          <w:szCs w:val="24"/>
        </w:rPr>
      </w:pPr>
      <w:r>
        <w:rPr>
          <w:rFonts w:hint="eastAsia" w:ascii="宋体" w:hAnsi="宋体" w:eastAsia="宋体" w:cs="宋体"/>
          <w:kern w:val="0"/>
          <w:sz w:val="24"/>
          <w:szCs w:val="24"/>
        </w:rPr>
        <w:t xml:space="preserve">    在示范中心的建设上，进一步完善管理机制，培养实验教学相关的学术带头人，通过自主开发与外部引进相结合的方法，丰富实验教学资源。通过激励机制，使实验教学队伍结构更加合理、学术造诣更高、教学质量和水平更上一个台阶。在过去几年中，实验教学中心建筑面积增加一倍，添置了一批先进的、功能齐全的实验教学设备和软件。此外，加强了兄弟院校的合作与交流，推进本中心与其他高校、科研、企业的资源共享，并邀请专家、学者来本中心讲座，提升了中心的示范辐射作用。</w:t>
      </w:r>
    </w:p>
    <w:p>
      <w:pPr>
        <w:ind w:firstLine="482" w:firstLineChars="200"/>
        <w:rPr>
          <w:rFonts w:hint="eastAsia" w:ascii="宋体" w:hAnsi="宋体" w:eastAsia="宋体" w:cs="宋体"/>
          <w:b/>
          <w:sz w:val="24"/>
          <w:szCs w:val="24"/>
        </w:rPr>
      </w:pPr>
    </w:p>
    <w:p>
      <w:pPr>
        <w:ind w:firstLine="482" w:firstLineChars="200"/>
        <w:rPr>
          <w:rFonts w:hint="eastAsia" w:ascii="宋体" w:hAnsi="宋体" w:eastAsia="宋体" w:cs="宋体"/>
          <w:b/>
          <w:sz w:val="24"/>
          <w:szCs w:val="24"/>
        </w:rPr>
      </w:pPr>
      <w:r>
        <w:rPr>
          <w:rFonts w:hint="eastAsia" w:ascii="宋体" w:hAnsi="宋体" w:eastAsia="宋体" w:cs="宋体"/>
          <w:b/>
          <w:sz w:val="24"/>
          <w:szCs w:val="24"/>
        </w:rPr>
        <w:t>（二）开放运行、安全运行等情况。</w:t>
      </w:r>
    </w:p>
    <w:p>
      <w:pPr>
        <w:spacing w:line="440" w:lineRule="exact"/>
        <w:ind w:firstLine="480" w:firstLineChars="200"/>
        <w:rPr>
          <w:rFonts w:hint="eastAsia" w:ascii="宋体" w:hAnsi="宋体" w:eastAsia="宋体" w:cs="宋体"/>
          <w:kern w:val="0"/>
          <w:sz w:val="24"/>
          <w:szCs w:val="24"/>
        </w:rPr>
      </w:pPr>
      <w:r>
        <w:rPr>
          <w:rFonts w:hint="eastAsia" w:ascii="宋体" w:hAnsi="宋体" w:eastAsia="宋体" w:cs="宋体"/>
          <w:sz w:val="24"/>
          <w:szCs w:val="24"/>
        </w:rPr>
        <w:t>跨国经济管理人才培养实验教学中心的</w:t>
      </w:r>
      <w:r>
        <w:rPr>
          <w:rFonts w:hint="eastAsia" w:ascii="宋体" w:hAnsi="宋体" w:eastAsia="宋体" w:cs="宋体"/>
          <w:kern w:val="0"/>
          <w:sz w:val="24"/>
          <w:szCs w:val="24"/>
        </w:rPr>
        <w:t>开放运行服从教学计划的安排：1)实验室计划内的课程安排由中心根据教务处教学计划统一安排；2)实验室业余开放针对本校本科生和研究生开放。开放实验的内容一般为教学计划内实验的延续和提高；3）业余开放的具体形式分为学生参与科研型、学生科技活动型、自选实验课题型、计算机应用技术提高型和人文素质与能力培养型等，采用以学生为主体、教师加以启发指导的实验教学模式。</w:t>
      </w:r>
    </w:p>
    <w:p>
      <w:pPr>
        <w:spacing w:line="440" w:lineRule="exact"/>
        <w:rPr>
          <w:rFonts w:hint="eastAsia" w:ascii="宋体" w:hAnsi="宋体" w:eastAsia="宋体" w:cs="宋体"/>
          <w:kern w:val="0"/>
          <w:sz w:val="24"/>
          <w:szCs w:val="24"/>
        </w:rPr>
      </w:pPr>
      <w:r>
        <w:rPr>
          <w:rFonts w:hint="eastAsia" w:ascii="宋体" w:hAnsi="宋体" w:eastAsia="宋体" w:cs="宋体"/>
          <w:kern w:val="0"/>
          <w:sz w:val="24"/>
          <w:szCs w:val="24"/>
        </w:rPr>
        <w:t xml:space="preserve">    学校对中心设备严格按照设备采购合同要求厂家进行设备维护保养，对保修期外的设备与厂家或供应商签订设备维护协议，使得设备能在二十四小时内得到修复，不能修复的将由厂商提供替代品。中心的维护经费较为充足，保证了实验材料的购置和设备的维护。对设备的大修，学校还有专门的设备大修基金来保证。</w:t>
      </w:r>
    </w:p>
    <w:p>
      <w:pPr>
        <w:spacing w:line="440" w:lineRule="exact"/>
        <w:rPr>
          <w:rFonts w:hint="eastAsia" w:ascii="宋体" w:hAnsi="宋体" w:eastAsia="宋体" w:cs="宋体"/>
          <w:kern w:val="0"/>
          <w:sz w:val="24"/>
          <w:szCs w:val="24"/>
        </w:rPr>
      </w:pPr>
      <w:r>
        <w:rPr>
          <w:rFonts w:hint="eastAsia" w:ascii="宋体" w:hAnsi="宋体" w:eastAsia="宋体" w:cs="宋体"/>
          <w:kern w:val="0"/>
          <w:sz w:val="24"/>
          <w:szCs w:val="24"/>
        </w:rPr>
        <w:t xml:space="preserve">    在主管校长领导下，全校仪器设备由资产处归口统一管理。学校各部门均有一位领导负责仪器设备管理工作，并配备专职或兼职的仪器设备管理人员。学校的所有仪器设备都建档入账，实施计算机管理。学校相关部门建立了健全的仪器设备账目制度。中心设备管理员和实验技术人员非常重视设备的维护维修、功能开发和改造升级，延长了设备的使用寿命，对设备定期检修、校验，做到了“坚持制度，责任到人”。对于贵重仪器设备，学校制定了相应的管理制度，贵重设备的管理、使用、维修人员必须经过培训和考核，保证实验仪器设备处于良好状态运行。</w:t>
      </w:r>
    </w:p>
    <w:p>
      <w:pPr>
        <w:spacing w:line="440" w:lineRule="exact"/>
        <w:rPr>
          <w:rFonts w:hint="eastAsia" w:ascii="宋体" w:hAnsi="宋体" w:eastAsia="宋体" w:cs="宋体"/>
          <w:kern w:val="0"/>
          <w:sz w:val="24"/>
          <w:szCs w:val="24"/>
        </w:rPr>
      </w:pPr>
      <w:r>
        <w:rPr>
          <w:rFonts w:hint="eastAsia" w:ascii="宋体" w:hAnsi="宋体" w:eastAsia="宋体" w:cs="宋体"/>
          <w:kern w:val="0"/>
          <w:sz w:val="24"/>
          <w:szCs w:val="24"/>
        </w:rPr>
        <w:t xml:space="preserve">    针对中心的实验仪器设备，我们建立了多级维护体系，措施得力，效果良好。</w:t>
      </w:r>
    </w:p>
    <w:p>
      <w:pPr>
        <w:pStyle w:val="29"/>
        <w:spacing w:line="440" w:lineRule="exact"/>
        <w:ind w:left="567"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1.对设备的日常保养维护由中心管理员负责。</w:t>
      </w:r>
    </w:p>
    <w:p>
      <w:pPr>
        <w:pStyle w:val="29"/>
        <w:spacing w:line="440" w:lineRule="exact"/>
        <w:ind w:left="567"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2.对在保修范围内的设备，根据设备采购合同由厂家提供服务。</w:t>
      </w:r>
    </w:p>
    <w:p>
      <w:pPr>
        <w:pStyle w:val="29"/>
        <w:spacing w:line="440" w:lineRule="exact"/>
        <w:ind w:firstLine="484" w:firstLineChars="202"/>
        <w:rPr>
          <w:rFonts w:hint="eastAsia" w:ascii="宋体" w:hAnsi="宋体" w:eastAsia="宋体" w:cs="宋体"/>
          <w:kern w:val="0"/>
          <w:sz w:val="24"/>
          <w:szCs w:val="24"/>
        </w:rPr>
      </w:pPr>
      <w:r>
        <w:rPr>
          <w:rFonts w:hint="eastAsia" w:ascii="宋体" w:hAnsi="宋体" w:eastAsia="宋体" w:cs="宋体"/>
          <w:kern w:val="0"/>
          <w:sz w:val="24"/>
          <w:szCs w:val="24"/>
        </w:rPr>
        <w:t>3.对于计算机、多媒体投影等超过保修期的常用设备，中心与本地信誉良好的本地计算机公司签订设备维护协议，保证设备的正常运行，在24小时内不能修复的，由计算机公司提供备用设备。</w:t>
      </w:r>
    </w:p>
    <w:p>
      <w:pPr>
        <w:pStyle w:val="29"/>
        <w:spacing w:line="440" w:lineRule="exact"/>
        <w:ind w:firstLine="484" w:firstLineChars="202"/>
        <w:rPr>
          <w:rFonts w:hint="eastAsia" w:ascii="宋体" w:hAnsi="宋体" w:eastAsia="宋体" w:cs="宋体"/>
          <w:kern w:val="0"/>
          <w:sz w:val="24"/>
          <w:szCs w:val="24"/>
        </w:rPr>
      </w:pPr>
      <w:r>
        <w:rPr>
          <w:rFonts w:hint="eastAsia" w:ascii="宋体" w:hAnsi="宋体" w:eastAsia="宋体" w:cs="宋体"/>
          <w:kern w:val="0"/>
          <w:sz w:val="24"/>
          <w:szCs w:val="24"/>
        </w:rPr>
        <w:t>4、对于一些关键设备，例如多媒体投影仪，交换机，电台，控制设备等，中心保证有一台或多台备用设备以防故障影响正常教学。</w:t>
      </w:r>
    </w:p>
    <w:p>
      <w:pPr>
        <w:pStyle w:val="29"/>
        <w:spacing w:line="440" w:lineRule="exact"/>
        <w:ind w:firstLine="484" w:firstLineChars="202"/>
        <w:rPr>
          <w:rFonts w:hint="eastAsia" w:ascii="宋体" w:hAnsi="宋体" w:eastAsia="宋体" w:cs="宋体"/>
          <w:kern w:val="0"/>
          <w:sz w:val="24"/>
          <w:szCs w:val="24"/>
        </w:rPr>
      </w:pPr>
      <w:r>
        <w:rPr>
          <w:rFonts w:hint="eastAsia" w:ascii="宋体" w:hAnsi="宋体" w:eastAsia="宋体" w:cs="宋体"/>
          <w:kern w:val="0"/>
          <w:sz w:val="24"/>
          <w:szCs w:val="24"/>
        </w:rPr>
        <w:t xml:space="preserve">5、所有固定资产设备由设备处统一管理，每台设备配有设备标签，进入固定资产数据库管理系统。 </w:t>
      </w:r>
    </w:p>
    <w:p>
      <w:pPr>
        <w:pStyle w:val="29"/>
        <w:spacing w:line="440" w:lineRule="exact"/>
        <w:ind w:firstLine="484" w:firstLineChars="202"/>
        <w:rPr>
          <w:rFonts w:hint="eastAsia" w:ascii="宋体" w:hAnsi="宋体" w:eastAsia="宋体" w:cs="宋体"/>
          <w:kern w:val="0"/>
          <w:sz w:val="24"/>
          <w:szCs w:val="24"/>
        </w:rPr>
      </w:pPr>
      <w:r>
        <w:rPr>
          <w:rFonts w:hint="eastAsia" w:ascii="宋体" w:hAnsi="宋体" w:eastAsia="宋体" w:cs="宋体"/>
          <w:kern w:val="0"/>
          <w:sz w:val="24"/>
          <w:szCs w:val="24"/>
        </w:rPr>
        <w:t>6、定期检查设备故障情况、定期进行全面维修维护，对主要设备有专门的清洁员对设备进行清洁保养。</w:t>
      </w:r>
    </w:p>
    <w:p>
      <w:pPr>
        <w:pStyle w:val="29"/>
        <w:spacing w:line="440" w:lineRule="exact"/>
        <w:ind w:firstLine="484" w:firstLineChars="202"/>
        <w:rPr>
          <w:rFonts w:hint="eastAsia" w:ascii="宋体" w:hAnsi="宋体" w:eastAsia="宋体" w:cs="宋体"/>
          <w:kern w:val="0"/>
          <w:sz w:val="24"/>
          <w:szCs w:val="24"/>
        </w:rPr>
      </w:pPr>
      <w:r>
        <w:rPr>
          <w:rFonts w:hint="eastAsia" w:ascii="宋体" w:hAnsi="宋体" w:eastAsia="宋体" w:cs="宋体"/>
          <w:kern w:val="0"/>
          <w:sz w:val="24"/>
          <w:szCs w:val="24"/>
        </w:rPr>
        <w:t>7、对实验室内设备进行使用登记制度，碰到设备运行不正常的情况实验教师或学生要报告给中心管理人员，中心马上进行维护维修处理。</w:t>
      </w:r>
    </w:p>
    <w:p>
      <w:pPr>
        <w:spacing w:line="440" w:lineRule="exact"/>
        <w:ind w:firstLine="484" w:firstLineChars="202"/>
        <w:rPr>
          <w:rFonts w:hint="eastAsia" w:ascii="宋体" w:hAnsi="宋体" w:eastAsia="宋体" w:cs="宋体"/>
          <w:kern w:val="0"/>
          <w:sz w:val="24"/>
          <w:szCs w:val="24"/>
        </w:rPr>
      </w:pPr>
      <w:r>
        <w:rPr>
          <w:rFonts w:hint="eastAsia" w:ascii="宋体" w:hAnsi="宋体" w:eastAsia="宋体" w:cs="宋体"/>
          <w:kern w:val="0"/>
          <w:sz w:val="24"/>
          <w:szCs w:val="24"/>
        </w:rPr>
        <w:t>8、为了保证服务器关键数据，对运行三年以上服务器硬盘进行更换。</w:t>
      </w:r>
    </w:p>
    <w:p>
      <w:pPr>
        <w:pStyle w:val="29"/>
        <w:spacing w:line="440" w:lineRule="exact"/>
        <w:ind w:firstLine="484" w:firstLineChars="202"/>
        <w:rPr>
          <w:rFonts w:hint="eastAsia" w:ascii="宋体" w:hAnsi="宋体" w:eastAsia="宋体" w:cs="宋体"/>
          <w:kern w:val="0"/>
          <w:sz w:val="24"/>
          <w:szCs w:val="24"/>
        </w:rPr>
      </w:pPr>
      <w:r>
        <w:rPr>
          <w:rFonts w:hint="eastAsia" w:ascii="宋体" w:hAnsi="宋体" w:eastAsia="宋体" w:cs="宋体"/>
          <w:kern w:val="0"/>
          <w:sz w:val="24"/>
          <w:szCs w:val="24"/>
        </w:rPr>
        <w:t>9、由于中心对设备的更新较快，现有的计算机等设备基本上都还在三年质保期之内，设备完好率在98％以上。</w:t>
      </w:r>
    </w:p>
    <w:p>
      <w:pPr>
        <w:ind w:left="562"/>
        <w:rPr>
          <w:rFonts w:ascii="黑体" w:hAnsi="黑体" w:eastAsia="黑体" w:cs="仿宋_GB2312"/>
          <w:b/>
          <w:sz w:val="28"/>
          <w:szCs w:val="28"/>
        </w:rPr>
      </w:pPr>
    </w:p>
    <w:p>
      <w:pPr>
        <w:ind w:left="562"/>
        <w:rPr>
          <w:rFonts w:ascii="黑体" w:hAnsi="黑体" w:eastAsia="黑体" w:cs="仿宋_GB2312"/>
          <w:b/>
          <w:sz w:val="28"/>
          <w:szCs w:val="28"/>
        </w:rPr>
      </w:pPr>
      <w:r>
        <w:rPr>
          <w:rFonts w:hint="eastAsia" w:ascii="黑体" w:hAnsi="黑体" w:eastAsia="黑体" w:cs="仿宋_GB2312"/>
          <w:b/>
          <w:sz w:val="28"/>
          <w:szCs w:val="28"/>
        </w:rPr>
        <w:t>五、所在学校与学校上级主管部门的支持</w:t>
      </w:r>
    </w:p>
    <w:p>
      <w:pPr>
        <w:spacing w:line="440" w:lineRule="exact"/>
        <w:ind w:firstLine="480" w:firstLineChars="200"/>
        <w:rPr>
          <w:rFonts w:cs="仿宋_GB2312" w:asciiTheme="minorEastAsia" w:hAnsiTheme="minorEastAsia"/>
          <w:kern w:val="0"/>
          <w:sz w:val="24"/>
          <w:szCs w:val="24"/>
        </w:rPr>
      </w:pPr>
      <w:r>
        <w:rPr>
          <w:rFonts w:hint="eastAsia" w:cs="仿宋_GB2312" w:asciiTheme="minorEastAsia" w:hAnsiTheme="minorEastAsia"/>
          <w:kern w:val="0"/>
          <w:sz w:val="24"/>
          <w:szCs w:val="24"/>
        </w:rPr>
        <w:t>跨</w:t>
      </w:r>
      <w:r>
        <w:rPr>
          <w:rFonts w:cs="仿宋_GB2312" w:asciiTheme="minorEastAsia" w:hAnsiTheme="minorEastAsia"/>
          <w:kern w:val="0"/>
          <w:sz w:val="24"/>
          <w:szCs w:val="24"/>
        </w:rPr>
        <w:t>国经济管理人才</w:t>
      </w:r>
      <w:r>
        <w:rPr>
          <w:rFonts w:hint="eastAsia" w:cs="仿宋_GB2312" w:asciiTheme="minorEastAsia" w:hAnsiTheme="minorEastAsia"/>
          <w:kern w:val="0"/>
          <w:sz w:val="24"/>
          <w:szCs w:val="24"/>
        </w:rPr>
        <w:t>培养</w:t>
      </w:r>
      <w:r>
        <w:rPr>
          <w:rFonts w:cs="仿宋_GB2312" w:asciiTheme="minorEastAsia" w:hAnsiTheme="minorEastAsia"/>
          <w:kern w:val="0"/>
          <w:sz w:val="24"/>
          <w:szCs w:val="24"/>
        </w:rPr>
        <w:t>实验教学中</w:t>
      </w:r>
      <w:r>
        <w:rPr>
          <w:rFonts w:hint="eastAsia" w:cs="仿宋_GB2312" w:asciiTheme="minorEastAsia" w:hAnsiTheme="minorEastAsia"/>
          <w:kern w:val="0"/>
          <w:sz w:val="24"/>
          <w:szCs w:val="24"/>
        </w:rPr>
        <w:t>心目前已有工作基础上，进一步升华根据先进的实验教学理念，学校除了投入55万元用于购买会计基础模拟，</w:t>
      </w:r>
      <w:r>
        <w:rPr>
          <w:rFonts w:cs="仿宋_GB2312" w:asciiTheme="minorEastAsia" w:hAnsiTheme="minorEastAsia"/>
          <w:kern w:val="0"/>
          <w:sz w:val="24"/>
          <w:szCs w:val="24"/>
        </w:rPr>
        <w:t>N</w:t>
      </w:r>
      <w:r>
        <w:rPr>
          <w:rFonts w:hint="eastAsia" w:cs="仿宋_GB2312" w:asciiTheme="minorEastAsia" w:hAnsiTheme="minorEastAsia"/>
          <w:kern w:val="0"/>
          <w:sz w:val="24"/>
          <w:szCs w:val="24"/>
        </w:rPr>
        <w:t>vivo等统计分析软件外，还购置了东方财富choice数据终端和国泰安数据库；投入学生创业平台建设经费14万元，购买了创业实战演练平台，软件创业先锋平台管理，软件连锁加盟创业训练等创业实训类软件。</w:t>
      </w:r>
    </w:p>
    <w:p>
      <w:pPr>
        <w:ind w:left="562"/>
        <w:rPr>
          <w:rFonts w:ascii="黑体" w:hAnsi="黑体" w:eastAsia="黑体" w:cs="仿宋_GB2312"/>
          <w:b/>
          <w:sz w:val="28"/>
          <w:szCs w:val="28"/>
        </w:rPr>
      </w:pPr>
    </w:p>
    <w:p>
      <w:pPr>
        <w:ind w:left="562"/>
        <w:rPr>
          <w:rFonts w:ascii="黑体" w:hAnsi="黑体" w:eastAsia="黑体" w:cs="仿宋_GB2312"/>
          <w:b/>
          <w:sz w:val="28"/>
          <w:szCs w:val="28"/>
        </w:rPr>
      </w:pPr>
      <w:r>
        <w:rPr>
          <w:rFonts w:hint="eastAsia" w:ascii="黑体" w:hAnsi="黑体" w:eastAsia="黑体" w:cs="仿宋_GB2312"/>
          <w:b/>
          <w:sz w:val="28"/>
          <w:szCs w:val="28"/>
        </w:rPr>
        <w:t>六、下一年发展思路</w:t>
      </w:r>
    </w:p>
    <w:p>
      <w:pPr>
        <w:spacing w:line="360" w:lineRule="auto"/>
        <w:ind w:firstLine="480" w:firstLineChars="200"/>
        <w:rPr>
          <w:rFonts w:hint="eastAsia" w:ascii="宋体" w:hAnsi="宋体" w:eastAsia="宋体" w:cs="宋体"/>
          <w:snapToGrid w:val="0"/>
          <w:kern w:val="0"/>
        </w:rPr>
      </w:pPr>
      <w:r>
        <w:rPr>
          <w:rFonts w:hint="eastAsia" w:ascii="宋体" w:hAnsi="宋体" w:eastAsia="宋体" w:cs="宋体"/>
          <w:snapToGrid w:val="0"/>
          <w:kern w:val="0"/>
        </w:rPr>
        <w:t>在2023年，本中心将继续托北外语言学科的传统优势，遵循北外“全球语言、全球文化、全球治理”三个重点学科建设方向，紧密结合数据科学与人工智能等科技领域前沿，将经济管理学科、语言学和数据科学深度交叉融合，校外借助社会各界及企业资源，校内整合北外国际商学院、各个语言学院、和信息科学技术学院的力量，努力将本实验室建设成为一个学科交叉融合，实验教学体系特色鲜明，学术成果显著的国内一流经济与管理学科重点实验室。具体表现为：</w:t>
      </w:r>
    </w:p>
    <w:p>
      <w:pPr>
        <w:pStyle w:val="29"/>
        <w:widowControl/>
        <w:numPr>
          <w:ilvl w:val="0"/>
          <w:numId w:val="2"/>
        </w:numPr>
        <w:spacing w:line="360" w:lineRule="auto"/>
        <w:ind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实验环境方面：对示范中心进行大规模的物理空间升级，硬件升级以及软件平台升级。。</w:t>
      </w:r>
    </w:p>
    <w:p>
      <w:pPr>
        <w:pStyle w:val="29"/>
        <w:widowControl/>
        <w:numPr>
          <w:ilvl w:val="0"/>
          <w:numId w:val="2"/>
        </w:numPr>
        <w:spacing w:line="360" w:lineRule="auto"/>
        <w:ind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人才培养方面：输出高水平、高质量的毕业生逾1000人。</w:t>
      </w:r>
    </w:p>
    <w:p>
      <w:pPr>
        <w:pStyle w:val="29"/>
        <w:widowControl/>
        <w:numPr>
          <w:ilvl w:val="0"/>
          <w:numId w:val="2"/>
        </w:numPr>
        <w:spacing w:line="360" w:lineRule="auto"/>
        <w:ind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课程建设方面：建设1-2门北京市优质本科课程，建设1-2门特色鲜明的实验实操类课程，承担1-3项省部级及校级教改项目。</w:t>
      </w:r>
    </w:p>
    <w:p>
      <w:pPr>
        <w:pStyle w:val="29"/>
        <w:widowControl/>
        <w:numPr>
          <w:ilvl w:val="0"/>
          <w:numId w:val="2"/>
        </w:numPr>
        <w:spacing w:line="360" w:lineRule="auto"/>
        <w:ind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学术科研方面：国家社会科学基金或国家自然科学基金面上项目或青年项目1-3项，北京市社会科学基金一般项目或青年项目1-3项，其他省部级项目多项，产出一系列交叉学科领域前沿论文、专著及其他研究成果。</w:t>
      </w:r>
    </w:p>
    <w:p>
      <w:pPr>
        <w:pStyle w:val="29"/>
        <w:widowControl/>
        <w:numPr>
          <w:ilvl w:val="0"/>
          <w:numId w:val="2"/>
        </w:numPr>
        <w:spacing w:line="360" w:lineRule="auto"/>
        <w:ind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师资建设方面：积极培养若干名交叉学科领域教学科研骨干。</w:t>
      </w:r>
    </w:p>
    <w:p>
      <w:pPr>
        <w:pStyle w:val="29"/>
        <w:widowControl/>
        <w:numPr>
          <w:ilvl w:val="0"/>
          <w:numId w:val="2"/>
        </w:numPr>
        <w:spacing w:line="360" w:lineRule="auto"/>
        <w:ind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社会服务方面：与10家国内外优质企业建立合作关系。</w:t>
      </w:r>
    </w:p>
    <w:p>
      <w:pPr>
        <w:pStyle w:val="29"/>
        <w:widowControl/>
        <w:numPr>
          <w:ilvl w:val="0"/>
          <w:numId w:val="2"/>
        </w:numPr>
        <w:spacing w:line="360" w:lineRule="auto"/>
        <w:ind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制度建设方面：</w:t>
      </w:r>
      <w:r>
        <w:rPr>
          <w:rFonts w:hint="eastAsia" w:ascii="宋体" w:hAnsi="宋体" w:eastAsia="宋体" w:cs="宋体"/>
          <w:color w:val="000000"/>
          <w:sz w:val="24"/>
          <w:szCs w:val="24"/>
        </w:rPr>
        <w:t>在示范中心教学指导委员会的指导下，全面规划和指导实验教学工作，</w:t>
      </w:r>
      <w:r>
        <w:rPr>
          <w:rFonts w:hint="eastAsia" w:ascii="宋体" w:hAnsi="宋体" w:eastAsia="宋体" w:cs="宋体"/>
          <w:snapToGrid w:val="0"/>
          <w:kern w:val="0"/>
          <w:sz w:val="24"/>
          <w:szCs w:val="24"/>
        </w:rPr>
        <w:t>继续优化并升级实验室制度，</w:t>
      </w:r>
      <w:r>
        <w:rPr>
          <w:rFonts w:hint="eastAsia" w:ascii="宋体" w:hAnsi="宋体" w:eastAsia="宋体" w:cs="宋体"/>
          <w:color w:val="000000"/>
          <w:sz w:val="24"/>
          <w:szCs w:val="24"/>
        </w:rPr>
        <w:t>保障示范中心的高效、高质运行</w:t>
      </w:r>
      <w:r>
        <w:rPr>
          <w:rFonts w:hint="eastAsia" w:ascii="宋体" w:hAnsi="宋体" w:eastAsia="宋体" w:cs="宋体"/>
          <w:snapToGrid w:val="0"/>
          <w:kern w:val="0"/>
          <w:sz w:val="24"/>
          <w:szCs w:val="24"/>
        </w:rPr>
        <w:t>。</w:t>
      </w:r>
    </w:p>
    <w:p>
      <w:pPr>
        <w:spacing w:line="360" w:lineRule="auto"/>
        <w:ind w:firstLine="480" w:firstLineChars="200"/>
        <w:rPr>
          <w:rFonts w:ascii="Times" w:hAnsi="Times"/>
          <w:snapToGrid w:val="0"/>
          <w:kern w:val="0"/>
        </w:rPr>
      </w:pPr>
    </w:p>
    <w:p>
      <w:pPr>
        <w:ind w:firstLine="480" w:firstLineChars="200"/>
        <w:rPr>
          <w:rFonts w:ascii="Times" w:hAnsi="Times"/>
          <w:snapToGrid w:val="0"/>
          <w:kern w:val="0"/>
        </w:rPr>
      </w:pPr>
    </w:p>
    <w:p>
      <w:pPr>
        <w:jc w:val="center"/>
        <w:rPr>
          <w:rFonts w:ascii="Times" w:hAnsi="Times"/>
          <w:snapToGrid w:val="0"/>
          <w:kern w:val="0"/>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cs="仿宋_GB2312"/>
          <w:b/>
          <w:bCs/>
          <w:w w:val="90"/>
          <w:sz w:val="32"/>
          <w:szCs w:val="32"/>
        </w:rPr>
      </w:pPr>
    </w:p>
    <w:p>
      <w:pPr>
        <w:jc w:val="center"/>
        <w:rPr>
          <w:rFonts w:ascii="黑体" w:hAnsi="黑体" w:eastAsia="黑体"/>
          <w:b/>
          <w:bCs/>
          <w:w w:val="90"/>
          <w:sz w:val="32"/>
          <w:szCs w:val="32"/>
        </w:rPr>
      </w:pPr>
      <w:r>
        <w:rPr>
          <w:rFonts w:hint="eastAsia" w:ascii="黑体" w:hAnsi="黑体" w:eastAsia="黑体" w:cs="仿宋_GB2312"/>
          <w:b/>
          <w:bCs/>
          <w:w w:val="90"/>
          <w:sz w:val="32"/>
          <w:szCs w:val="32"/>
        </w:rPr>
        <w:t>第二部分</w:t>
      </w:r>
      <w:r>
        <w:rPr>
          <w:rFonts w:hint="eastAsia" w:ascii="黑体" w:hAnsi="黑体" w:eastAsia="黑体"/>
          <w:b/>
          <w:bCs/>
          <w:w w:val="90"/>
          <w:sz w:val="32"/>
          <w:szCs w:val="32"/>
        </w:rPr>
        <w:t xml:space="preserve"> 示范中心数据</w:t>
      </w:r>
    </w:p>
    <w:p>
      <w:pPr>
        <w:jc w:val="center"/>
        <w:rPr>
          <w:rFonts w:ascii="楷体" w:hAnsi="楷体" w:eastAsia="楷体" w:cs="仿宋_GB2312"/>
          <w:b/>
          <w:bCs/>
          <w:w w:val="90"/>
          <w:sz w:val="28"/>
          <w:szCs w:val="28"/>
        </w:rPr>
      </w:pPr>
      <w:r>
        <w:rPr>
          <w:rFonts w:hint="eastAsia" w:ascii="楷体" w:hAnsi="楷体" w:eastAsia="楷体" w:cs="仿宋_GB2312"/>
          <w:b/>
          <w:bCs/>
          <w:w w:val="90"/>
          <w:sz w:val="28"/>
          <w:szCs w:val="28"/>
        </w:rPr>
        <w:t>（</w:t>
      </w:r>
      <w:r>
        <w:rPr>
          <w:rFonts w:hint="eastAsia" w:ascii="楷体" w:hAnsi="楷体" w:eastAsia="楷体" w:cs="仿宋_GB2312"/>
          <w:w w:val="90"/>
          <w:sz w:val="28"/>
          <w:szCs w:val="28"/>
        </w:rPr>
        <w:t>数据采集时间为</w:t>
      </w:r>
      <w:r>
        <w:rPr>
          <w:rFonts w:hint="eastAsia" w:ascii="楷体" w:hAnsi="楷体" w:eastAsia="楷体"/>
          <w:w w:val="90"/>
          <w:sz w:val="28"/>
          <w:szCs w:val="28"/>
        </w:rPr>
        <w:t xml:space="preserve"> 202</w:t>
      </w:r>
      <w:r>
        <w:rPr>
          <w:rFonts w:ascii="楷体" w:hAnsi="楷体" w:eastAsia="楷体"/>
          <w:w w:val="90"/>
          <w:sz w:val="28"/>
          <w:szCs w:val="28"/>
        </w:rPr>
        <w:t>2</w:t>
      </w:r>
      <w:r>
        <w:rPr>
          <w:rFonts w:hint="eastAsia" w:ascii="楷体" w:hAnsi="楷体" w:eastAsia="楷体"/>
          <w:w w:val="90"/>
          <w:sz w:val="28"/>
          <w:szCs w:val="28"/>
        </w:rPr>
        <w:t>年1</w:t>
      </w:r>
      <w:r>
        <w:rPr>
          <w:rFonts w:hint="eastAsia" w:ascii="楷体" w:hAnsi="楷体" w:eastAsia="楷体" w:cs="仿宋_GB2312"/>
          <w:w w:val="90"/>
          <w:sz w:val="28"/>
          <w:szCs w:val="28"/>
        </w:rPr>
        <w:t>月</w:t>
      </w:r>
      <w:r>
        <w:rPr>
          <w:rFonts w:hint="eastAsia" w:ascii="楷体" w:hAnsi="楷体" w:eastAsia="楷体"/>
          <w:w w:val="90"/>
          <w:sz w:val="28"/>
          <w:szCs w:val="28"/>
        </w:rPr>
        <w:t>1</w:t>
      </w:r>
      <w:r>
        <w:rPr>
          <w:rFonts w:hint="eastAsia" w:ascii="楷体" w:hAnsi="楷体" w:eastAsia="楷体" w:cs="仿宋_GB2312"/>
          <w:w w:val="90"/>
          <w:sz w:val="28"/>
          <w:szCs w:val="28"/>
        </w:rPr>
        <w:t>日至</w:t>
      </w:r>
      <w:r>
        <w:rPr>
          <w:rFonts w:hint="eastAsia" w:ascii="楷体" w:hAnsi="楷体" w:eastAsia="楷体"/>
          <w:w w:val="90"/>
          <w:sz w:val="28"/>
          <w:szCs w:val="28"/>
        </w:rPr>
        <w:t>12</w:t>
      </w:r>
      <w:r>
        <w:rPr>
          <w:rFonts w:hint="eastAsia" w:ascii="楷体" w:hAnsi="楷体" w:eastAsia="楷体" w:cs="仿宋_GB2312"/>
          <w:w w:val="90"/>
          <w:sz w:val="28"/>
          <w:szCs w:val="28"/>
        </w:rPr>
        <w:t>月</w:t>
      </w:r>
      <w:r>
        <w:rPr>
          <w:rFonts w:hint="eastAsia" w:ascii="楷体" w:hAnsi="楷体" w:eastAsia="楷体"/>
          <w:w w:val="90"/>
          <w:sz w:val="28"/>
          <w:szCs w:val="28"/>
        </w:rPr>
        <w:t>31</w:t>
      </w:r>
      <w:r>
        <w:rPr>
          <w:rFonts w:hint="eastAsia" w:ascii="楷体" w:hAnsi="楷体" w:eastAsia="楷体" w:cs="仿宋_GB2312"/>
          <w:w w:val="90"/>
          <w:sz w:val="28"/>
          <w:szCs w:val="28"/>
        </w:rPr>
        <w:t>日</w:t>
      </w:r>
      <w:r>
        <w:rPr>
          <w:rFonts w:hint="eastAsia" w:ascii="楷体" w:hAnsi="楷体" w:eastAsia="楷体" w:cs="仿宋_GB2312"/>
          <w:b/>
          <w:bCs/>
          <w:w w:val="90"/>
          <w:sz w:val="28"/>
          <w:szCs w:val="28"/>
        </w:rPr>
        <w:t>）</w:t>
      </w:r>
    </w:p>
    <w:p>
      <w:pPr>
        <w:spacing w:before="163" w:beforeLines="50" w:after="163" w:afterLines="50"/>
        <w:ind w:firstLine="643" w:firstLineChars="200"/>
        <w:rPr>
          <w:rFonts w:ascii="黑体" w:hAnsi="黑体" w:eastAsia="黑体"/>
          <w:b/>
          <w:bCs/>
          <w:sz w:val="32"/>
          <w:szCs w:val="32"/>
        </w:rPr>
      </w:pPr>
      <w:r>
        <w:rPr>
          <w:rFonts w:hint="eastAsia" w:ascii="黑体" w:hAnsi="黑体" w:eastAsia="黑体"/>
          <w:b/>
          <w:bCs/>
          <w:sz w:val="32"/>
          <w:szCs w:val="32"/>
        </w:rPr>
        <w:t>一、示范中心基本情况</w:t>
      </w:r>
    </w:p>
    <w:tbl>
      <w:tblPr>
        <w:tblStyle w:val="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07"/>
        <w:gridCol w:w="1325"/>
        <w:gridCol w:w="252"/>
        <w:gridCol w:w="707"/>
        <w:gridCol w:w="1317"/>
        <w:gridCol w:w="732"/>
        <w:gridCol w:w="801"/>
        <w:gridCol w:w="157"/>
        <w:gridCol w:w="114"/>
        <w:gridCol w:w="160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3" w:type="pct"/>
            <w:gridSpan w:val="2"/>
          </w:tcPr>
          <w:p>
            <w:pPr>
              <w:jc w:val="center"/>
              <w:rPr>
                <w:rFonts w:ascii="黑体" w:hAnsi="黑体" w:eastAsia="黑体"/>
                <w:bCs/>
                <w:sz w:val="28"/>
                <w:szCs w:val="28"/>
              </w:rPr>
            </w:pPr>
            <w:r>
              <w:rPr>
                <w:rFonts w:hint="eastAsia" w:ascii="黑体" w:hAnsi="黑体" w:eastAsia="黑体"/>
                <w:bCs/>
                <w:sz w:val="28"/>
                <w:szCs w:val="28"/>
              </w:rPr>
              <w:t>示范中心名称</w:t>
            </w:r>
          </w:p>
        </w:tc>
        <w:tc>
          <w:tcPr>
            <w:tcW w:w="3337" w:type="pct"/>
            <w:gridSpan w:val="8"/>
          </w:tcPr>
          <w:p>
            <w:pPr>
              <w:rPr>
                <w:rFonts w:hint="eastAsia" w:ascii="宋体" w:hAnsi="宋体" w:eastAsia="宋体" w:cs="宋体"/>
                <w:b w:val="0"/>
                <w:bCs/>
                <w:sz w:val="28"/>
                <w:szCs w:val="28"/>
              </w:rPr>
            </w:pPr>
            <w:r>
              <w:rPr>
                <w:rFonts w:hint="eastAsia" w:ascii="宋体" w:hAnsi="宋体" w:eastAsia="宋体" w:cs="宋体"/>
                <w:b w:val="0"/>
                <w:bCs/>
                <w:sz w:val="28"/>
              </w:rPr>
              <w:t>跨国经济管理人才培养实验教学中心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3" w:type="pct"/>
            <w:gridSpan w:val="2"/>
          </w:tcPr>
          <w:p>
            <w:pPr>
              <w:jc w:val="center"/>
              <w:rPr>
                <w:rFonts w:ascii="黑体" w:hAnsi="黑体" w:eastAsia="黑体"/>
                <w:bCs/>
                <w:sz w:val="28"/>
                <w:szCs w:val="28"/>
              </w:rPr>
            </w:pPr>
            <w:r>
              <w:rPr>
                <w:rFonts w:hint="eastAsia" w:ascii="黑体" w:hAnsi="黑体" w:eastAsia="黑体"/>
                <w:bCs/>
                <w:sz w:val="28"/>
                <w:szCs w:val="28"/>
              </w:rPr>
              <w:t>所在学校名称</w:t>
            </w:r>
          </w:p>
        </w:tc>
        <w:tc>
          <w:tcPr>
            <w:tcW w:w="3337" w:type="pct"/>
            <w:gridSpan w:val="8"/>
          </w:tcPr>
          <w:p>
            <w:pPr>
              <w:rPr>
                <w:rFonts w:hint="eastAsia" w:ascii="宋体" w:hAnsi="宋体" w:eastAsia="宋体" w:cs="宋体"/>
                <w:b w:val="0"/>
                <w:bCs/>
                <w:sz w:val="28"/>
                <w:szCs w:val="28"/>
              </w:rPr>
            </w:pPr>
            <w:r>
              <w:rPr>
                <w:rFonts w:hint="eastAsia" w:ascii="宋体" w:hAnsi="宋体" w:eastAsia="宋体" w:cs="宋体"/>
                <w:b w:val="0"/>
                <w:bCs/>
                <w:sz w:val="28"/>
                <w:szCs w:val="28"/>
              </w:rPr>
              <w:t>北京外国语大学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3" w:type="pct"/>
            <w:gridSpan w:val="2"/>
          </w:tcPr>
          <w:p>
            <w:pPr>
              <w:jc w:val="center"/>
              <w:rPr>
                <w:rFonts w:ascii="黑体" w:hAnsi="黑体" w:eastAsia="黑体"/>
                <w:bCs/>
                <w:sz w:val="28"/>
                <w:szCs w:val="28"/>
              </w:rPr>
            </w:pPr>
            <w:r>
              <w:rPr>
                <w:rFonts w:hint="eastAsia" w:ascii="黑体" w:hAnsi="黑体" w:eastAsia="黑体"/>
                <w:bCs/>
                <w:sz w:val="28"/>
                <w:szCs w:val="28"/>
              </w:rPr>
              <w:t>主管部门名称</w:t>
            </w:r>
          </w:p>
        </w:tc>
        <w:tc>
          <w:tcPr>
            <w:tcW w:w="3337" w:type="pct"/>
            <w:gridSpan w:val="8"/>
          </w:tcPr>
          <w:p>
            <w:pPr>
              <w:rPr>
                <w:rFonts w:hint="eastAsia" w:ascii="宋体" w:hAnsi="宋体" w:eastAsia="宋体" w:cs="宋体"/>
                <w:b w:val="0"/>
                <w:bCs/>
                <w:sz w:val="28"/>
                <w:szCs w:val="28"/>
              </w:rPr>
            </w:pPr>
            <w:r>
              <w:rPr>
                <w:rFonts w:hint="eastAsia" w:ascii="宋体" w:hAnsi="宋体" w:eastAsia="宋体" w:cs="宋体"/>
                <w:b w:val="0"/>
                <w:bCs/>
                <w:sz w:val="28"/>
                <w:szCs w:val="28"/>
              </w:rPr>
              <w:t>国际商学院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3" w:type="pct"/>
            <w:gridSpan w:val="2"/>
          </w:tcPr>
          <w:p>
            <w:pPr>
              <w:jc w:val="center"/>
              <w:rPr>
                <w:rFonts w:ascii="黑体" w:hAnsi="黑体" w:eastAsia="黑体"/>
                <w:bCs/>
                <w:sz w:val="28"/>
                <w:szCs w:val="28"/>
              </w:rPr>
            </w:pPr>
            <w:r>
              <w:rPr>
                <w:rFonts w:hint="eastAsia" w:ascii="黑体" w:hAnsi="黑体" w:eastAsia="黑体"/>
                <w:bCs/>
                <w:sz w:val="28"/>
                <w:szCs w:val="28"/>
              </w:rPr>
              <w:t>示范中心门户网址</w:t>
            </w:r>
          </w:p>
        </w:tc>
        <w:tc>
          <w:tcPr>
            <w:tcW w:w="3337" w:type="pct"/>
            <w:gridSpan w:val="8"/>
          </w:tcPr>
          <w:p>
            <w:pPr>
              <w:rPr>
                <w:rFonts w:ascii="黑体" w:hAnsi="黑体" w:eastAsia="黑体"/>
                <w:bCs/>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3" w:type="pct"/>
            <w:gridSpan w:val="2"/>
            <w:vAlign w:val="center"/>
          </w:tcPr>
          <w:p>
            <w:pPr>
              <w:jc w:val="center"/>
              <w:rPr>
                <w:rFonts w:ascii="黑体" w:hAnsi="黑体" w:eastAsia="黑体"/>
                <w:bCs/>
                <w:sz w:val="28"/>
                <w:szCs w:val="28"/>
              </w:rPr>
            </w:pPr>
            <w:r>
              <w:rPr>
                <w:rFonts w:hint="eastAsia" w:ascii="黑体" w:hAnsi="黑体" w:eastAsia="黑体"/>
                <w:bCs/>
                <w:sz w:val="28"/>
                <w:szCs w:val="28"/>
              </w:rPr>
              <w:t>示范中心详细地址</w:t>
            </w:r>
          </w:p>
        </w:tc>
        <w:tc>
          <w:tcPr>
            <w:tcW w:w="1766" w:type="pct"/>
            <w:gridSpan w:val="4"/>
            <w:vAlign w:val="center"/>
          </w:tcPr>
          <w:p>
            <w:pPr>
              <w:jc w:val="center"/>
              <w:rPr>
                <w:rFonts w:hint="eastAsia" w:ascii="宋体" w:hAnsi="宋体" w:eastAsia="宋体" w:cs="宋体"/>
                <w:bCs/>
                <w:sz w:val="28"/>
                <w:szCs w:val="28"/>
              </w:rPr>
            </w:pPr>
            <w:r>
              <w:rPr>
                <w:rFonts w:hint="eastAsia" w:ascii="宋体" w:hAnsi="宋体" w:eastAsia="宋体" w:cs="宋体"/>
                <w:bCs/>
                <w:sz w:val="28"/>
                <w:szCs w:val="28"/>
              </w:rPr>
              <w:t>北京外国语大学国际大厦301</w:t>
            </w:r>
          </w:p>
        </w:tc>
        <w:tc>
          <w:tcPr>
            <w:tcW w:w="562" w:type="pct"/>
            <w:gridSpan w:val="2"/>
            <w:vAlign w:val="center"/>
          </w:tcPr>
          <w:p>
            <w:pPr>
              <w:jc w:val="center"/>
              <w:rPr>
                <w:rFonts w:ascii="黑体" w:hAnsi="黑体" w:eastAsia="黑体"/>
                <w:bCs/>
                <w:sz w:val="28"/>
                <w:szCs w:val="28"/>
              </w:rPr>
            </w:pPr>
            <w:r>
              <w:rPr>
                <w:rFonts w:hint="eastAsia" w:ascii="黑体" w:hAnsi="黑体" w:eastAsia="黑体"/>
                <w:bCs/>
                <w:sz w:val="28"/>
                <w:szCs w:val="28"/>
              </w:rPr>
              <w:t>邮政编码</w:t>
            </w:r>
          </w:p>
        </w:tc>
        <w:tc>
          <w:tcPr>
            <w:tcW w:w="1009" w:type="pct"/>
            <w:gridSpan w:val="2"/>
            <w:vAlign w:val="center"/>
          </w:tcPr>
          <w:p>
            <w:pPr>
              <w:jc w:val="center"/>
              <w:rPr>
                <w:rFonts w:hint="eastAsia" w:ascii="宋体" w:hAnsi="宋体" w:eastAsia="宋体" w:cs="宋体"/>
                <w:bCs/>
                <w:sz w:val="28"/>
                <w:szCs w:val="28"/>
              </w:rPr>
            </w:pPr>
            <w:r>
              <w:rPr>
                <w:rFonts w:hint="eastAsia" w:ascii="宋体" w:hAnsi="宋体" w:eastAsia="宋体" w:cs="宋体"/>
                <w:bCs/>
                <w:sz w:val="28"/>
                <w:szCs w:val="28"/>
              </w:rPr>
              <w:t>100089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3" w:type="pct"/>
            <w:gridSpan w:val="2"/>
          </w:tcPr>
          <w:p>
            <w:pPr>
              <w:jc w:val="center"/>
              <w:rPr>
                <w:rFonts w:ascii="黑体" w:hAnsi="黑体" w:eastAsia="黑体"/>
                <w:bCs/>
                <w:sz w:val="28"/>
                <w:szCs w:val="28"/>
              </w:rPr>
            </w:pPr>
            <w:r>
              <w:rPr>
                <w:rFonts w:hint="eastAsia" w:ascii="黑体" w:hAnsi="黑体" w:eastAsia="黑体"/>
                <w:bCs/>
                <w:sz w:val="28"/>
                <w:szCs w:val="28"/>
              </w:rPr>
              <w:t>固定资产情况</w:t>
            </w:r>
          </w:p>
        </w:tc>
        <w:tc>
          <w:tcPr>
            <w:tcW w:w="3337" w:type="pct"/>
            <w:gridSpan w:val="8"/>
          </w:tcPr>
          <w:p>
            <w:pPr>
              <w:jc w:val="center"/>
              <w:rPr>
                <w:rFonts w:hint="eastAsia" w:ascii="宋体" w:hAnsi="宋体" w:eastAsia="宋体" w:cs="宋体"/>
                <w:bCs/>
                <w:sz w:val="28"/>
                <w:szCs w:val="28"/>
              </w:rPr>
            </w:pPr>
            <w:r>
              <w:rPr>
                <w:rFonts w:hint="eastAsia" w:ascii="宋体" w:hAnsi="宋体" w:eastAsia="宋体" w:cs="宋体"/>
                <w:bCs/>
                <w:sz w:val="28"/>
                <w:szCs w:val="28"/>
              </w:rPr>
              <w:t>200万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5" w:type="pct"/>
            <w:vAlign w:val="center"/>
          </w:tcPr>
          <w:p>
            <w:pPr>
              <w:jc w:val="center"/>
              <w:rPr>
                <w:rFonts w:ascii="黑体" w:hAnsi="黑体" w:eastAsia="黑体"/>
                <w:bCs/>
                <w:sz w:val="28"/>
                <w:szCs w:val="28"/>
              </w:rPr>
            </w:pPr>
            <w:r>
              <w:rPr>
                <w:rFonts w:hint="eastAsia" w:ascii="黑体" w:hAnsi="黑体" w:eastAsia="黑体"/>
                <w:bCs/>
                <w:sz w:val="28"/>
                <w:szCs w:val="28"/>
              </w:rPr>
              <w:t>建筑面积</w:t>
            </w:r>
          </w:p>
        </w:tc>
        <w:tc>
          <w:tcPr>
            <w:tcW w:w="778" w:type="pct"/>
            <w:vAlign w:val="center"/>
          </w:tcPr>
          <w:p>
            <w:pPr>
              <w:jc w:val="center"/>
              <w:rPr>
                <w:rFonts w:hint="eastAsia" w:ascii="宋体" w:hAnsi="宋体" w:eastAsia="宋体" w:cs="宋体"/>
                <w:bCs/>
                <w:sz w:val="28"/>
                <w:szCs w:val="28"/>
              </w:rPr>
            </w:pPr>
            <w:r>
              <w:rPr>
                <w:rFonts w:hint="eastAsia" w:ascii="宋体" w:hAnsi="宋体" w:eastAsia="宋体" w:cs="宋体"/>
                <w:bCs/>
                <w:sz w:val="28"/>
                <w:szCs w:val="28"/>
              </w:rPr>
              <w:t>180㎡</w:t>
            </w:r>
          </w:p>
        </w:tc>
        <w:tc>
          <w:tcPr>
            <w:tcW w:w="563" w:type="pct"/>
            <w:gridSpan w:val="2"/>
            <w:vAlign w:val="center"/>
          </w:tcPr>
          <w:p>
            <w:pPr>
              <w:jc w:val="center"/>
              <w:rPr>
                <w:rFonts w:ascii="黑体" w:hAnsi="黑体" w:eastAsia="黑体"/>
                <w:bCs/>
                <w:sz w:val="28"/>
                <w:szCs w:val="28"/>
              </w:rPr>
            </w:pPr>
            <w:r>
              <w:rPr>
                <w:rFonts w:hint="eastAsia" w:ascii="黑体" w:hAnsi="黑体" w:eastAsia="黑体"/>
                <w:bCs/>
                <w:sz w:val="28"/>
                <w:szCs w:val="28"/>
              </w:rPr>
              <w:t>设备总值</w:t>
            </w:r>
          </w:p>
        </w:tc>
        <w:tc>
          <w:tcPr>
            <w:tcW w:w="773" w:type="pct"/>
            <w:vAlign w:val="center"/>
          </w:tcPr>
          <w:p>
            <w:pPr>
              <w:jc w:val="center"/>
              <w:rPr>
                <w:rFonts w:hint="eastAsia" w:ascii="宋体" w:hAnsi="宋体" w:eastAsia="宋体" w:cs="宋体"/>
                <w:bCs/>
                <w:sz w:val="28"/>
                <w:szCs w:val="28"/>
              </w:rPr>
            </w:pPr>
            <w:r>
              <w:rPr>
                <w:rFonts w:hint="eastAsia" w:ascii="宋体" w:hAnsi="宋体" w:eastAsia="宋体" w:cs="宋体"/>
                <w:bCs/>
                <w:sz w:val="28"/>
                <w:szCs w:val="28"/>
              </w:rPr>
              <w:t>160万</w:t>
            </w:r>
          </w:p>
        </w:tc>
        <w:tc>
          <w:tcPr>
            <w:tcW w:w="900" w:type="pct"/>
            <w:gridSpan w:val="2"/>
            <w:vAlign w:val="center"/>
          </w:tcPr>
          <w:p>
            <w:pPr>
              <w:jc w:val="center"/>
              <w:rPr>
                <w:rFonts w:ascii="黑体" w:hAnsi="黑体" w:eastAsia="黑体"/>
                <w:bCs/>
                <w:sz w:val="28"/>
                <w:szCs w:val="28"/>
              </w:rPr>
            </w:pPr>
            <w:r>
              <w:rPr>
                <w:rFonts w:hint="eastAsia" w:ascii="黑体" w:hAnsi="黑体" w:eastAsia="黑体"/>
                <w:bCs/>
                <w:sz w:val="28"/>
                <w:szCs w:val="28"/>
              </w:rPr>
              <w:t>设备台数</w:t>
            </w:r>
          </w:p>
        </w:tc>
        <w:tc>
          <w:tcPr>
            <w:tcW w:w="1101" w:type="pct"/>
            <w:gridSpan w:val="3"/>
            <w:vAlign w:val="center"/>
          </w:tcPr>
          <w:p>
            <w:pPr>
              <w:jc w:val="center"/>
              <w:rPr>
                <w:rFonts w:hint="eastAsia" w:ascii="宋体" w:hAnsi="宋体" w:eastAsia="宋体" w:cs="宋体"/>
                <w:bCs/>
                <w:sz w:val="28"/>
                <w:szCs w:val="28"/>
              </w:rPr>
            </w:pPr>
            <w:r>
              <w:rPr>
                <w:rFonts w:hint="eastAsia" w:ascii="宋体" w:hAnsi="宋体" w:eastAsia="宋体" w:cs="宋体"/>
                <w:bCs/>
                <w:sz w:val="28"/>
                <w:szCs w:val="28"/>
              </w:rPr>
              <w:t>83台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3" w:type="pct"/>
            <w:gridSpan w:val="2"/>
          </w:tcPr>
          <w:p>
            <w:pPr>
              <w:jc w:val="center"/>
              <w:rPr>
                <w:rFonts w:ascii="黑体" w:hAnsi="黑体" w:eastAsia="黑体"/>
                <w:bCs/>
                <w:sz w:val="28"/>
                <w:szCs w:val="28"/>
              </w:rPr>
            </w:pPr>
            <w:r>
              <w:rPr>
                <w:rFonts w:hint="eastAsia" w:ascii="黑体" w:hAnsi="黑体" w:eastAsia="黑体"/>
                <w:bCs/>
                <w:sz w:val="28"/>
                <w:szCs w:val="28"/>
              </w:rPr>
              <w:t>经费投入情况</w:t>
            </w:r>
          </w:p>
        </w:tc>
        <w:tc>
          <w:tcPr>
            <w:tcW w:w="3337" w:type="pct"/>
            <w:gridSpan w:val="8"/>
          </w:tcPr>
          <w:p>
            <w:pPr>
              <w:jc w:val="center"/>
              <w:rPr>
                <w:rFonts w:hint="eastAsia" w:ascii="宋体" w:hAnsi="宋体" w:eastAsia="宋体" w:cs="宋体"/>
                <w:bCs/>
                <w:sz w:val="28"/>
                <w:szCs w:val="28"/>
              </w:rPr>
            </w:pPr>
            <w:r>
              <w:rPr>
                <w:rFonts w:hint="eastAsia" w:ascii="宋体" w:hAnsi="宋体" w:eastAsia="宋体" w:cs="宋体"/>
                <w:bCs/>
                <w:sz w:val="28"/>
                <w:szCs w:val="28"/>
              </w:rPr>
              <w:t>硬件设备180万，数据库及软件20万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11" w:type="pct"/>
            <w:gridSpan w:val="3"/>
            <w:tcBorders>
              <w:right w:val="single" w:color="auto" w:sz="4" w:space="0"/>
            </w:tcBorders>
            <w:vAlign w:val="center"/>
          </w:tcPr>
          <w:p>
            <w:pPr>
              <w:jc w:val="center"/>
              <w:rPr>
                <w:rFonts w:ascii="黑体" w:hAnsi="黑体" w:eastAsia="黑体"/>
                <w:bCs/>
                <w:sz w:val="28"/>
                <w:szCs w:val="28"/>
              </w:rPr>
            </w:pPr>
            <w:r>
              <w:rPr>
                <w:rFonts w:hint="eastAsia" w:ascii="黑体" w:hAnsi="黑体" w:eastAsia="黑体"/>
                <w:bCs/>
                <w:sz w:val="28"/>
                <w:szCs w:val="28"/>
              </w:rPr>
              <w:t>主管部门年度经费投入</w:t>
            </w:r>
          </w:p>
          <w:p>
            <w:pPr>
              <w:jc w:val="center"/>
              <w:rPr>
                <w:rFonts w:ascii="楷体" w:hAnsi="楷体" w:eastAsia="楷体"/>
                <w:bCs/>
              </w:rPr>
            </w:pPr>
            <w:r>
              <w:rPr>
                <w:rFonts w:hint="eastAsia" w:ascii="楷体" w:hAnsi="楷体" w:eastAsia="楷体"/>
                <w:bCs/>
              </w:rPr>
              <w:t>（直属高校不填）</w:t>
            </w:r>
          </w:p>
        </w:tc>
        <w:tc>
          <w:tcPr>
            <w:tcW w:w="415" w:type="pct"/>
            <w:tcBorders>
              <w:left w:val="single" w:color="auto" w:sz="4" w:space="0"/>
            </w:tcBorders>
            <w:vAlign w:val="center"/>
          </w:tcPr>
          <w:p>
            <w:pPr>
              <w:ind w:firstLine="274" w:firstLineChars="98"/>
              <w:jc w:val="center"/>
              <w:rPr>
                <w:rFonts w:ascii="楷体" w:hAnsi="楷体" w:eastAsia="楷体"/>
                <w:bCs/>
                <w:sz w:val="28"/>
                <w:szCs w:val="28"/>
              </w:rPr>
            </w:pPr>
          </w:p>
        </w:tc>
        <w:tc>
          <w:tcPr>
            <w:tcW w:w="1832" w:type="pct"/>
            <w:gridSpan w:val="5"/>
            <w:vAlign w:val="center"/>
          </w:tcPr>
          <w:p>
            <w:pPr>
              <w:jc w:val="center"/>
              <w:rPr>
                <w:rFonts w:ascii="黑体" w:hAnsi="黑体" w:eastAsia="黑体"/>
                <w:bCs/>
                <w:sz w:val="28"/>
                <w:szCs w:val="28"/>
              </w:rPr>
            </w:pPr>
            <w:r>
              <w:rPr>
                <w:rFonts w:hint="eastAsia" w:ascii="黑体" w:hAnsi="黑体" w:eastAsia="黑体"/>
                <w:bCs/>
                <w:sz w:val="28"/>
                <w:szCs w:val="28"/>
              </w:rPr>
              <w:t>所在学校年度经费投入</w:t>
            </w:r>
          </w:p>
        </w:tc>
        <w:tc>
          <w:tcPr>
            <w:tcW w:w="942" w:type="pct"/>
            <w:vAlign w:val="center"/>
          </w:tcPr>
          <w:p>
            <w:pPr>
              <w:jc w:val="center"/>
              <w:rPr>
                <w:rFonts w:hint="eastAsia" w:ascii="宋体" w:hAnsi="宋体" w:eastAsia="宋体" w:cs="宋体"/>
                <w:bCs/>
                <w:sz w:val="28"/>
                <w:szCs w:val="28"/>
              </w:rPr>
            </w:pPr>
            <w:r>
              <w:rPr>
                <w:rFonts w:hint="eastAsia" w:ascii="宋体" w:hAnsi="宋体" w:eastAsia="宋体" w:cs="宋体"/>
                <w:bCs/>
                <w:sz w:val="28"/>
                <w:szCs w:val="28"/>
              </w:rPr>
              <w:t>10万</w:t>
            </w:r>
          </w:p>
        </w:tc>
      </w:tr>
    </w:tbl>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ind w:firstLine="470" w:firstLineChars="196"/>
        <w:rPr>
          <w:rFonts w:ascii="楷体" w:hAnsi="楷体" w:eastAsia="楷体"/>
          <w:bCs/>
        </w:rPr>
      </w:pPr>
    </w:p>
    <w:p>
      <w:pPr>
        <w:numPr>
          <w:ilvl w:val="0"/>
          <w:numId w:val="3"/>
        </w:numPr>
        <w:spacing w:before="163" w:beforeLines="50"/>
        <w:ind w:firstLine="630" w:firstLineChars="196"/>
        <w:rPr>
          <w:rFonts w:ascii="黑体" w:hAnsi="黑体" w:eastAsia="黑体" w:cs="仿宋_GB2312"/>
          <w:b/>
          <w:bCs/>
          <w:sz w:val="32"/>
          <w:szCs w:val="32"/>
        </w:rPr>
      </w:pPr>
      <w:r>
        <w:rPr>
          <w:rFonts w:hint="eastAsia" w:ascii="黑体" w:hAnsi="黑体" w:eastAsia="黑体" w:cs="仿宋_GB2312"/>
          <w:b/>
          <w:bCs/>
          <w:sz w:val="32"/>
          <w:szCs w:val="32"/>
        </w:rPr>
        <w:t>人才队伍基本情况</w:t>
      </w:r>
    </w:p>
    <w:p>
      <w:pPr>
        <w:pStyle w:val="29"/>
        <w:numPr>
          <w:ilvl w:val="0"/>
          <w:numId w:val="4"/>
        </w:numPr>
        <w:spacing w:before="163" w:beforeLines="50"/>
        <w:ind w:firstLineChars="0"/>
        <w:rPr>
          <w:rFonts w:ascii="黑体" w:hAnsi="黑体" w:eastAsia="黑体" w:cs="仿宋_GB2312"/>
          <w:bCs/>
          <w:sz w:val="28"/>
          <w:szCs w:val="28"/>
        </w:rPr>
      </w:pPr>
      <w:r>
        <w:rPr>
          <w:rFonts w:hint="eastAsia" w:ascii="黑体" w:hAnsi="黑体" w:eastAsia="黑体"/>
          <w:bCs/>
          <w:sz w:val="28"/>
          <w:szCs w:val="28"/>
        </w:rPr>
        <w:t>本年度</w:t>
      </w:r>
      <w:r>
        <w:rPr>
          <w:rFonts w:hint="eastAsia" w:ascii="黑体" w:hAnsi="黑体" w:eastAsia="黑体" w:cs="仿宋_GB2312"/>
          <w:bCs/>
          <w:sz w:val="28"/>
          <w:szCs w:val="28"/>
        </w:rPr>
        <w:t>固定人员情况</w:t>
      </w:r>
    </w:p>
    <w:tbl>
      <w:tblPr>
        <w:tblStyle w:val="7"/>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92"/>
        <w:gridCol w:w="709"/>
        <w:gridCol w:w="709"/>
        <w:gridCol w:w="992"/>
        <w:gridCol w:w="992"/>
        <w:gridCol w:w="851"/>
        <w:gridCol w:w="850"/>
        <w:gridCol w:w="1807"/>
        <w:gridCol w:w="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568" w:type="dxa"/>
            <w:vAlign w:val="center"/>
          </w:tcPr>
          <w:p>
            <w:pPr>
              <w:widowControl/>
              <w:jc w:val="center"/>
              <w:rPr>
                <w:rFonts w:ascii="宋体" w:hAnsi="宋体" w:eastAsia="宋体" w:cs="宋体"/>
                <w:b/>
                <w:bCs/>
                <w:kern w:val="0"/>
                <w:sz w:val="21"/>
                <w:szCs w:val="21"/>
              </w:rPr>
            </w:pPr>
            <w:r>
              <w:rPr>
                <w:rFonts w:hint="eastAsia" w:ascii="宋体" w:hAnsi="宋体" w:eastAsia="宋体" w:cs="宋体"/>
                <w:b/>
                <w:bCs/>
                <w:kern w:val="0"/>
                <w:sz w:val="21"/>
                <w:szCs w:val="21"/>
              </w:rPr>
              <w:t>序号</w:t>
            </w:r>
          </w:p>
        </w:tc>
        <w:tc>
          <w:tcPr>
            <w:tcW w:w="992" w:type="dxa"/>
            <w:shd w:val="clear" w:color="auto" w:fill="auto"/>
            <w:noWrap/>
            <w:vAlign w:val="center"/>
          </w:tcPr>
          <w:p>
            <w:pPr>
              <w:widowControl/>
              <w:jc w:val="center"/>
              <w:rPr>
                <w:rFonts w:ascii="宋体" w:hAnsi="宋体" w:eastAsia="宋体" w:cs="宋体"/>
                <w:b/>
                <w:bCs/>
                <w:kern w:val="0"/>
                <w:sz w:val="21"/>
                <w:szCs w:val="21"/>
              </w:rPr>
            </w:pPr>
            <w:r>
              <w:rPr>
                <w:rFonts w:hint="eastAsia" w:ascii="宋体" w:hAnsi="宋体" w:eastAsia="宋体" w:cs="宋体"/>
                <w:b/>
                <w:bCs/>
                <w:kern w:val="0"/>
                <w:sz w:val="21"/>
                <w:szCs w:val="21"/>
              </w:rPr>
              <w:t>姓名</w:t>
            </w:r>
          </w:p>
        </w:tc>
        <w:tc>
          <w:tcPr>
            <w:tcW w:w="709" w:type="dxa"/>
            <w:shd w:val="clear" w:color="auto" w:fill="auto"/>
            <w:vAlign w:val="center"/>
          </w:tcPr>
          <w:p>
            <w:pPr>
              <w:widowControl/>
              <w:jc w:val="center"/>
              <w:rPr>
                <w:rFonts w:ascii="宋体" w:hAnsi="宋体" w:eastAsia="宋体" w:cs="宋体"/>
                <w:b/>
                <w:bCs/>
                <w:kern w:val="0"/>
                <w:sz w:val="21"/>
                <w:szCs w:val="21"/>
              </w:rPr>
            </w:pPr>
            <w:r>
              <w:rPr>
                <w:rFonts w:hint="eastAsia" w:ascii="宋体" w:hAnsi="宋体" w:eastAsia="宋体" w:cs="宋体"/>
                <w:b/>
                <w:bCs/>
                <w:kern w:val="0"/>
                <w:sz w:val="21"/>
                <w:szCs w:val="21"/>
              </w:rPr>
              <w:t>性别</w:t>
            </w:r>
          </w:p>
        </w:tc>
        <w:tc>
          <w:tcPr>
            <w:tcW w:w="709" w:type="dxa"/>
            <w:shd w:val="clear" w:color="auto" w:fill="auto"/>
            <w:vAlign w:val="center"/>
          </w:tcPr>
          <w:p>
            <w:pPr>
              <w:widowControl/>
              <w:ind w:left="-108" w:leftChars="-45"/>
              <w:jc w:val="center"/>
              <w:rPr>
                <w:rFonts w:ascii="宋体" w:hAnsi="宋体" w:eastAsia="宋体" w:cs="宋体"/>
                <w:b/>
                <w:bCs/>
                <w:kern w:val="0"/>
                <w:sz w:val="21"/>
                <w:szCs w:val="21"/>
              </w:rPr>
            </w:pPr>
            <w:r>
              <w:rPr>
                <w:rFonts w:hint="eastAsia" w:ascii="宋体" w:hAnsi="宋体" w:eastAsia="宋体" w:cs="宋体"/>
                <w:b/>
                <w:bCs/>
                <w:kern w:val="0"/>
                <w:sz w:val="21"/>
                <w:szCs w:val="21"/>
              </w:rPr>
              <w:t>出生</w:t>
            </w:r>
          </w:p>
          <w:p>
            <w:pPr>
              <w:widowControl/>
              <w:ind w:left="-108" w:leftChars="-45"/>
              <w:jc w:val="center"/>
              <w:rPr>
                <w:rFonts w:ascii="宋体" w:hAnsi="宋体" w:eastAsia="宋体" w:cs="宋体"/>
                <w:b/>
                <w:bCs/>
                <w:kern w:val="0"/>
                <w:sz w:val="21"/>
                <w:szCs w:val="21"/>
              </w:rPr>
            </w:pPr>
            <w:r>
              <w:rPr>
                <w:rFonts w:hint="eastAsia" w:ascii="宋体" w:hAnsi="宋体" w:eastAsia="宋体" w:cs="宋体"/>
                <w:b/>
                <w:bCs/>
                <w:kern w:val="0"/>
                <w:sz w:val="21"/>
                <w:szCs w:val="21"/>
              </w:rPr>
              <w:t>年份</w:t>
            </w:r>
          </w:p>
        </w:tc>
        <w:tc>
          <w:tcPr>
            <w:tcW w:w="992" w:type="dxa"/>
            <w:shd w:val="clear" w:color="auto" w:fill="auto"/>
            <w:vAlign w:val="center"/>
          </w:tcPr>
          <w:p>
            <w:pPr>
              <w:widowControl/>
              <w:jc w:val="center"/>
              <w:rPr>
                <w:rFonts w:ascii="宋体" w:hAnsi="宋体" w:eastAsia="宋体" w:cs="宋体"/>
                <w:b/>
                <w:bCs/>
                <w:kern w:val="0"/>
                <w:sz w:val="21"/>
                <w:szCs w:val="21"/>
              </w:rPr>
            </w:pPr>
            <w:r>
              <w:rPr>
                <w:rFonts w:hint="eastAsia" w:ascii="宋体" w:hAnsi="宋体" w:eastAsia="宋体" w:cs="宋体"/>
                <w:b/>
                <w:bCs/>
                <w:kern w:val="0"/>
                <w:sz w:val="21"/>
                <w:szCs w:val="21"/>
              </w:rPr>
              <w:t>职称</w:t>
            </w:r>
          </w:p>
        </w:tc>
        <w:tc>
          <w:tcPr>
            <w:tcW w:w="992" w:type="dxa"/>
            <w:shd w:val="clear" w:color="auto" w:fill="auto"/>
            <w:vAlign w:val="center"/>
          </w:tcPr>
          <w:p>
            <w:pPr>
              <w:widowControl/>
              <w:jc w:val="center"/>
              <w:rPr>
                <w:rFonts w:ascii="宋体" w:hAnsi="宋体" w:eastAsia="宋体" w:cs="宋体"/>
                <w:b/>
                <w:bCs/>
                <w:kern w:val="0"/>
                <w:sz w:val="21"/>
                <w:szCs w:val="21"/>
              </w:rPr>
            </w:pPr>
            <w:r>
              <w:rPr>
                <w:rFonts w:hint="eastAsia" w:ascii="宋体" w:hAnsi="宋体" w:eastAsia="宋体" w:cs="宋体"/>
                <w:b/>
                <w:bCs/>
                <w:kern w:val="0"/>
                <w:sz w:val="21"/>
                <w:szCs w:val="21"/>
              </w:rPr>
              <w:t>职务</w:t>
            </w:r>
          </w:p>
        </w:tc>
        <w:tc>
          <w:tcPr>
            <w:tcW w:w="851" w:type="dxa"/>
            <w:shd w:val="clear" w:color="auto" w:fill="auto"/>
            <w:vAlign w:val="center"/>
          </w:tcPr>
          <w:p>
            <w:pPr>
              <w:widowControl/>
              <w:jc w:val="center"/>
              <w:rPr>
                <w:rFonts w:ascii="宋体" w:hAnsi="宋体" w:eastAsia="宋体" w:cs="宋体"/>
                <w:b/>
                <w:bCs/>
                <w:kern w:val="0"/>
                <w:sz w:val="21"/>
                <w:szCs w:val="21"/>
              </w:rPr>
            </w:pPr>
            <w:r>
              <w:rPr>
                <w:rFonts w:hint="eastAsia" w:ascii="宋体" w:hAnsi="宋体" w:eastAsia="宋体" w:cs="宋体"/>
                <w:b/>
                <w:bCs/>
                <w:kern w:val="0"/>
                <w:sz w:val="21"/>
                <w:szCs w:val="21"/>
              </w:rPr>
              <w:t>工作性质</w:t>
            </w:r>
          </w:p>
        </w:tc>
        <w:tc>
          <w:tcPr>
            <w:tcW w:w="850" w:type="dxa"/>
            <w:shd w:val="clear" w:color="auto" w:fill="auto"/>
            <w:vAlign w:val="center"/>
          </w:tcPr>
          <w:p>
            <w:pPr>
              <w:widowControl/>
              <w:jc w:val="center"/>
              <w:rPr>
                <w:rFonts w:ascii="宋体" w:hAnsi="宋体" w:eastAsia="宋体" w:cs="宋体"/>
                <w:b/>
                <w:bCs/>
                <w:kern w:val="0"/>
                <w:sz w:val="21"/>
                <w:szCs w:val="21"/>
              </w:rPr>
            </w:pPr>
            <w:r>
              <w:rPr>
                <w:rFonts w:hint="eastAsia" w:ascii="宋体" w:hAnsi="宋体" w:eastAsia="宋体" w:cs="宋体"/>
                <w:b/>
                <w:bCs/>
                <w:kern w:val="0"/>
                <w:sz w:val="21"/>
                <w:szCs w:val="21"/>
              </w:rPr>
              <w:t>学位</w:t>
            </w:r>
          </w:p>
        </w:tc>
        <w:tc>
          <w:tcPr>
            <w:tcW w:w="1807" w:type="dxa"/>
            <w:shd w:val="clear" w:color="auto" w:fill="auto"/>
            <w:vAlign w:val="center"/>
          </w:tcPr>
          <w:p>
            <w:pPr>
              <w:widowControl/>
              <w:jc w:val="center"/>
              <w:rPr>
                <w:rFonts w:ascii="宋体" w:hAnsi="宋体" w:eastAsia="宋体" w:cs="宋体"/>
                <w:b/>
                <w:bCs/>
                <w:kern w:val="0"/>
                <w:sz w:val="21"/>
                <w:szCs w:val="21"/>
              </w:rPr>
            </w:pPr>
            <w:r>
              <w:rPr>
                <w:rFonts w:hint="eastAsia" w:ascii="宋体" w:hAnsi="宋体" w:eastAsia="宋体" w:cs="宋体"/>
                <w:b/>
                <w:bCs/>
                <w:kern w:val="0"/>
                <w:sz w:val="21"/>
                <w:szCs w:val="21"/>
              </w:rPr>
              <w:t>备注</w:t>
            </w:r>
          </w:p>
        </w:tc>
        <w:tc>
          <w:tcPr>
            <w:tcW w:w="745" w:type="dxa"/>
            <w:shd w:val="clear" w:color="auto" w:fill="auto"/>
            <w:noWrap/>
            <w:vAlign w:val="center"/>
          </w:tcPr>
          <w:p>
            <w:pPr>
              <w:widowControl/>
              <w:jc w:val="center"/>
              <w:rPr>
                <w:rFonts w:ascii="宋体" w:hAnsi="宋体" w:eastAsia="宋体" w:cs="宋体"/>
                <w:b/>
                <w:bCs/>
                <w:kern w:val="0"/>
                <w:sz w:val="21"/>
                <w:szCs w:val="21"/>
              </w:rPr>
            </w:pPr>
            <w:r>
              <w:rPr>
                <w:rFonts w:hint="eastAsia" w:ascii="宋体" w:hAnsi="宋体" w:eastAsia="宋体" w:cs="宋体"/>
                <w:b/>
                <w:bCs/>
                <w:kern w:val="0"/>
                <w:sz w:val="21"/>
                <w:szCs w:val="21"/>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w:t>
            </w:r>
          </w:p>
        </w:tc>
        <w:tc>
          <w:tcPr>
            <w:tcW w:w="992" w:type="dxa"/>
            <w:shd w:val="clear" w:color="auto" w:fill="FFFFFF" w:themeFill="background1"/>
            <w:noWrap/>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牛华勇</w:t>
            </w:r>
          </w:p>
        </w:tc>
        <w:tc>
          <w:tcPr>
            <w:tcW w:w="709" w:type="dxa"/>
            <w:shd w:val="clear" w:color="auto" w:fill="FFFFFF" w:themeFill="background1"/>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1976</w:t>
            </w:r>
          </w:p>
        </w:tc>
        <w:tc>
          <w:tcPr>
            <w:tcW w:w="992" w:type="dxa"/>
            <w:shd w:val="clear" w:color="auto" w:fill="FFFFFF" w:themeFill="background1"/>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教授</w:t>
            </w:r>
          </w:p>
        </w:tc>
        <w:tc>
          <w:tcPr>
            <w:tcW w:w="992" w:type="dxa"/>
            <w:shd w:val="clear" w:color="auto" w:fill="FFFFFF" w:themeFill="background1"/>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主任</w:t>
            </w:r>
          </w:p>
        </w:tc>
        <w:tc>
          <w:tcPr>
            <w:tcW w:w="851"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管理</w:t>
            </w:r>
          </w:p>
        </w:tc>
        <w:tc>
          <w:tcPr>
            <w:tcW w:w="850"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博士生导师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w:t>
            </w:r>
          </w:p>
        </w:tc>
        <w:tc>
          <w:tcPr>
            <w:tcW w:w="992" w:type="dxa"/>
            <w:shd w:val="clear" w:color="auto" w:fill="FFFFFF" w:themeFill="background1"/>
            <w:noWrap/>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杨丹</w:t>
            </w:r>
          </w:p>
        </w:tc>
        <w:tc>
          <w:tcPr>
            <w:tcW w:w="709" w:type="dxa"/>
            <w:shd w:val="clear" w:color="auto" w:fill="FFFFFF" w:themeFill="background1"/>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1970</w:t>
            </w:r>
          </w:p>
        </w:tc>
        <w:tc>
          <w:tcPr>
            <w:tcW w:w="992" w:type="dxa"/>
            <w:shd w:val="clear" w:color="auto" w:fill="FFFFFF" w:themeFill="background1"/>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教授</w:t>
            </w:r>
          </w:p>
        </w:tc>
        <w:tc>
          <w:tcPr>
            <w:tcW w:w="992" w:type="dxa"/>
            <w:shd w:val="clear" w:color="auto" w:fill="FFFFFF" w:themeFill="background1"/>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教学</w:t>
            </w:r>
          </w:p>
        </w:tc>
        <w:tc>
          <w:tcPr>
            <w:tcW w:w="850"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bCs/>
                <w:sz w:val="21"/>
                <w:szCs w:val="21"/>
              </w:rPr>
              <w:t>国家“万人计划”哲学社会科学领军人才；博士生导师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3</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张继红</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1967</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博士生导师， 2017年入选国家百千万人才工程，并授予国家“有突出贡献中青年专家”</w:t>
            </w:r>
          </w:p>
        </w:tc>
        <w:tc>
          <w:tcPr>
            <w:tcW w:w="745"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8" w:type="dxa"/>
            <w:vAlign w:val="center"/>
          </w:tcPr>
          <w:p>
            <w:pPr>
              <w:widowControl/>
              <w:jc w:val="center"/>
              <w:rPr>
                <w:rFonts w:ascii="宋体" w:hAnsi="宋体" w:eastAsia="宋体" w:cs="宋体"/>
                <w:kern w:val="0"/>
                <w:sz w:val="21"/>
                <w:szCs w:val="21"/>
              </w:rPr>
            </w:pPr>
            <w:r>
              <w:rPr>
                <w:rFonts w:ascii="宋体" w:hAnsi="宋体" w:eastAsia="宋体" w:cs="宋体"/>
                <w:kern w:val="0"/>
                <w:sz w:val="21"/>
                <w:szCs w:val="21"/>
              </w:rPr>
              <w:t>4</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邵明星</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1982</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管理</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bCs/>
                <w:kern w:val="2"/>
                <w:sz w:val="21"/>
                <w:szCs w:val="21"/>
                <w:lang w:val="en-US" w:eastAsia="zh-CN" w:bidi="ar-SA"/>
              </w:rPr>
            </w:pPr>
            <w:r>
              <w:rPr>
                <w:rFonts w:hint="eastAsia" w:ascii="宋体" w:hAnsi="宋体" w:eastAsia="宋体" w:cs="宋体"/>
                <w:bCs/>
                <w:sz w:val="21"/>
                <w:szCs w:val="21"/>
              </w:rPr>
              <w:t>北京市高校课程思政教学名师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5</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蔡连侨</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1971</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6</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丁晓松</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1977</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color w:val="000000"/>
                <w:kern w:val="0"/>
                <w:sz w:val="21"/>
                <w:szCs w:val="21"/>
              </w:rPr>
            </w:pPr>
            <w:r>
              <w:rPr>
                <w:rFonts w:hint="eastAsia" w:ascii="宋体" w:hAnsi="宋体" w:eastAsia="宋体" w:cs="宋体"/>
                <w:kern w:val="0"/>
                <w:sz w:val="21"/>
                <w:szCs w:val="21"/>
              </w:rPr>
              <w:t>博士生导师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7</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武育楠</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1972</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8</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范静</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1980</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管理</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color w:val="000000"/>
                <w:kern w:val="0"/>
                <w:sz w:val="21"/>
                <w:szCs w:val="21"/>
              </w:rPr>
            </w:pPr>
            <w:r>
              <w:rPr>
                <w:rFonts w:hint="eastAsia" w:ascii="宋体" w:hAnsi="宋体" w:eastAsia="宋体" w:cs="宋体"/>
                <w:bCs/>
                <w:sz w:val="21"/>
                <w:szCs w:val="21"/>
              </w:rPr>
              <w:t>财政部人才库；博士生导师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9</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裴艳丽</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1972</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10</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孙文莉</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1969</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color w:val="000000"/>
                <w:kern w:val="0"/>
                <w:sz w:val="21"/>
                <w:szCs w:val="21"/>
              </w:rPr>
            </w:pPr>
            <w:r>
              <w:rPr>
                <w:rFonts w:hint="eastAsia" w:ascii="宋体" w:hAnsi="宋体" w:eastAsia="宋体" w:cs="宋体"/>
                <w:kern w:val="0"/>
                <w:sz w:val="21"/>
                <w:szCs w:val="21"/>
              </w:rPr>
              <w:t>博士生导师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11</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李淑敏</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1967</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12</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何蓉</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1970</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管理</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13</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王敏</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1976</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管理</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博士生导师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14</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余靖雯</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1984</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财政部人才库；博士生导师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15</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詹惠蓉</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1976</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16</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朋震</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1976</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17</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任康钰</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1974</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管理</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18</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陈若鸿</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1974</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19</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宋衍蘅</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1973</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管理</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20</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崔校宁</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1978</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21</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fldChar w:fldCharType="begin"/>
            </w:r>
            <w:r>
              <w:instrText xml:space="preserve"> HYPERLINK "https://ibs.bfsu.edu.cn/teacher.aspx?m=20140924134241013079&amp;t_id=20150514121456487702" </w:instrText>
            </w:r>
            <w:r>
              <w:fldChar w:fldCharType="separate"/>
            </w:r>
            <w:r>
              <w:rPr>
                <w:rFonts w:hint="eastAsia" w:ascii="宋体" w:hAnsi="宋体" w:eastAsia="宋体" w:cs="宋体"/>
                <w:bCs/>
                <w:sz w:val="21"/>
                <w:szCs w:val="21"/>
              </w:rPr>
              <w:t>李思飞</w:t>
            </w:r>
            <w:r>
              <w:rPr>
                <w:rFonts w:hint="eastAsia" w:ascii="宋体" w:hAnsi="宋体" w:eastAsia="宋体" w:cs="宋体"/>
                <w:bCs/>
                <w:sz w:val="21"/>
                <w:szCs w:val="21"/>
              </w:rPr>
              <w:fldChar w:fldCharType="end"/>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1982</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财政部全国高端会计人才（学术类）；博士生导师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22</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fldChar w:fldCharType="begin"/>
            </w:r>
            <w:r>
              <w:instrText xml:space="preserve"> HYPERLINK "https://ibs.bfsu.edu.cn/teacher.aspx?m=20140924134241013079&amp;t_id=20150907142752207121" </w:instrText>
            </w:r>
            <w:r>
              <w:fldChar w:fldCharType="separate"/>
            </w:r>
            <w:r>
              <w:rPr>
                <w:rFonts w:hint="eastAsia" w:ascii="宋体" w:hAnsi="宋体" w:eastAsia="宋体" w:cs="宋体"/>
                <w:bCs/>
                <w:sz w:val="21"/>
                <w:szCs w:val="21"/>
              </w:rPr>
              <w:t>李倩</w:t>
            </w:r>
            <w:r>
              <w:rPr>
                <w:rFonts w:hint="eastAsia" w:ascii="宋体" w:hAnsi="宋体" w:eastAsia="宋体" w:cs="宋体"/>
                <w:bCs/>
                <w:sz w:val="21"/>
                <w:szCs w:val="21"/>
              </w:rPr>
              <w:fldChar w:fldCharType="end"/>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1987</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博士生导师</w:t>
            </w: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23</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刘芳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1977</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24</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fldChar w:fldCharType="begin"/>
            </w:r>
            <w:r>
              <w:instrText xml:space="preserve"> HYPERLINK "https://ibs.bfsu.edu.cn/teacher.aspx?m=20140924134241013079&amp;t_id=20160927160155053295" </w:instrText>
            </w:r>
            <w:r>
              <w:fldChar w:fldCharType="separate"/>
            </w:r>
            <w:r>
              <w:rPr>
                <w:rFonts w:hint="eastAsia" w:ascii="宋体" w:hAnsi="宋体" w:eastAsia="宋体" w:cs="宋体"/>
                <w:bCs/>
                <w:sz w:val="21"/>
                <w:szCs w:val="21"/>
              </w:rPr>
              <w:t>陈曦</w:t>
            </w:r>
            <w:r>
              <w:rPr>
                <w:rFonts w:hint="eastAsia" w:ascii="宋体" w:hAnsi="宋体" w:eastAsia="宋体" w:cs="宋体"/>
                <w:bCs/>
                <w:sz w:val="21"/>
                <w:szCs w:val="21"/>
              </w:rPr>
              <w:fldChar w:fldCharType="end"/>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1985</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25</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fldChar w:fldCharType="begin"/>
            </w:r>
            <w:r>
              <w:instrText xml:space="preserve"> HYPERLINK "https://ibs.bfsu.edu.cn/teacher.aspx?m=20140924134241013079&amp;t_id=20150908093224960133" </w:instrText>
            </w:r>
            <w:r>
              <w:fldChar w:fldCharType="separate"/>
            </w:r>
            <w:r>
              <w:rPr>
                <w:rFonts w:hint="eastAsia" w:ascii="宋体" w:hAnsi="宋体" w:eastAsia="宋体" w:cs="宋体"/>
                <w:bCs/>
                <w:sz w:val="21"/>
                <w:szCs w:val="21"/>
              </w:rPr>
              <w:t>马潇宇</w:t>
            </w:r>
            <w:r>
              <w:rPr>
                <w:rFonts w:hint="eastAsia" w:ascii="宋体" w:hAnsi="宋体" w:eastAsia="宋体" w:cs="宋体"/>
                <w:bCs/>
                <w:sz w:val="21"/>
                <w:szCs w:val="21"/>
              </w:rPr>
              <w:fldChar w:fldCharType="end"/>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1987</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26</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fldChar w:fldCharType="begin"/>
            </w:r>
            <w:r>
              <w:instrText xml:space="preserve"> HYPERLINK "https://ibs.bfsu.edu.cn/teacher.aspx?m=20140924134241013079&amp;t_id=20150826084637140100" </w:instrText>
            </w:r>
            <w:r>
              <w:fldChar w:fldCharType="separate"/>
            </w:r>
            <w:r>
              <w:rPr>
                <w:rFonts w:hint="eastAsia" w:ascii="宋体" w:hAnsi="宋体" w:eastAsia="宋体" w:cs="宋体"/>
                <w:bCs/>
                <w:sz w:val="21"/>
                <w:szCs w:val="21"/>
              </w:rPr>
              <w:t>连增</w:t>
            </w:r>
            <w:r>
              <w:rPr>
                <w:rFonts w:hint="eastAsia" w:ascii="宋体" w:hAnsi="宋体" w:eastAsia="宋体" w:cs="宋体"/>
                <w:bCs/>
                <w:sz w:val="21"/>
                <w:szCs w:val="21"/>
              </w:rPr>
              <w:fldChar w:fldCharType="end"/>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1981</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27</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闻中</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1974</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28</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李雪</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女</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1989</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副教授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29</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李虓</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1986</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讲师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30</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邵小快</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1987</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讲师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31</w:t>
            </w:r>
          </w:p>
        </w:tc>
        <w:tc>
          <w:tcPr>
            <w:tcW w:w="992"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王军</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男</w:t>
            </w:r>
          </w:p>
        </w:tc>
        <w:tc>
          <w:tcPr>
            <w:tcW w:w="709" w:type="dxa"/>
            <w:shd w:val="clear" w:color="auto" w:fill="FFFFFF" w:themeFill="background1"/>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1992</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讲师</w:t>
            </w:r>
          </w:p>
        </w:tc>
        <w:tc>
          <w:tcPr>
            <w:tcW w:w="992" w:type="dxa"/>
            <w:shd w:val="clear" w:color="auto" w:fill="FFFFFF" w:themeFill="background1"/>
            <w:noWrap/>
            <w:vAlign w:val="center"/>
          </w:tcPr>
          <w:p>
            <w:pPr>
              <w:widowControl/>
              <w:jc w:val="center"/>
              <w:rPr>
                <w:rFonts w:ascii="宋体" w:hAnsi="宋体" w:eastAsia="宋体" w:cs="宋体"/>
                <w:kern w:val="0"/>
                <w:sz w:val="21"/>
                <w:szCs w:val="21"/>
              </w:rPr>
            </w:pPr>
            <w:r>
              <w:rPr>
                <w:rFonts w:hint="eastAsia" w:ascii="宋体" w:hAnsi="宋体" w:eastAsia="宋体" w:cs="宋体"/>
                <w:bCs/>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32</w:t>
            </w:r>
          </w:p>
        </w:tc>
        <w:tc>
          <w:tcPr>
            <w:tcW w:w="992"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牛煜皓</w:t>
            </w:r>
          </w:p>
        </w:tc>
        <w:tc>
          <w:tcPr>
            <w:tcW w:w="709"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男</w:t>
            </w:r>
          </w:p>
        </w:tc>
        <w:tc>
          <w:tcPr>
            <w:tcW w:w="709"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1995</w:t>
            </w:r>
          </w:p>
        </w:tc>
        <w:tc>
          <w:tcPr>
            <w:tcW w:w="992" w:type="dxa"/>
            <w:shd w:val="clear" w:color="auto" w:fill="auto"/>
            <w:noWrap/>
          </w:tcPr>
          <w:p>
            <w:pPr>
              <w:widowControl/>
              <w:jc w:val="center"/>
              <w:rPr>
                <w:rFonts w:ascii="宋体" w:hAnsi="宋体" w:eastAsia="宋体" w:cs="宋体"/>
                <w:bCs/>
                <w:sz w:val="21"/>
                <w:szCs w:val="21"/>
              </w:rPr>
            </w:pPr>
            <w:r>
              <w:rPr>
                <w:rFonts w:hint="eastAsia" w:ascii="宋体" w:hAnsi="宋体" w:eastAsia="宋体" w:cs="宋体"/>
                <w:bCs/>
                <w:sz w:val="21"/>
                <w:szCs w:val="21"/>
              </w:rPr>
              <w:t>讲师</w:t>
            </w:r>
          </w:p>
        </w:tc>
        <w:tc>
          <w:tcPr>
            <w:tcW w:w="992" w:type="dxa"/>
            <w:shd w:val="clear" w:color="auto" w:fill="auto"/>
            <w:noWrap/>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3</w:t>
            </w:r>
            <w:r>
              <w:rPr>
                <w:rFonts w:ascii="宋体" w:hAnsi="宋体" w:eastAsia="宋体" w:cs="宋体"/>
                <w:kern w:val="0"/>
                <w:sz w:val="21"/>
                <w:szCs w:val="21"/>
              </w:rPr>
              <w:t>3</w:t>
            </w:r>
          </w:p>
        </w:tc>
        <w:tc>
          <w:tcPr>
            <w:tcW w:w="992"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李志勇</w:t>
            </w:r>
          </w:p>
        </w:tc>
        <w:tc>
          <w:tcPr>
            <w:tcW w:w="709"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男</w:t>
            </w:r>
          </w:p>
        </w:tc>
        <w:tc>
          <w:tcPr>
            <w:tcW w:w="709"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1992</w:t>
            </w:r>
          </w:p>
        </w:tc>
        <w:tc>
          <w:tcPr>
            <w:tcW w:w="992" w:type="dxa"/>
            <w:shd w:val="clear" w:color="auto" w:fill="auto"/>
            <w:noWrap/>
          </w:tcPr>
          <w:p>
            <w:pPr>
              <w:widowControl/>
              <w:jc w:val="center"/>
              <w:rPr>
                <w:rFonts w:ascii="宋体" w:hAnsi="宋体" w:eastAsia="宋体" w:cs="宋体"/>
                <w:bCs/>
                <w:sz w:val="21"/>
                <w:szCs w:val="21"/>
              </w:rPr>
            </w:pPr>
            <w:r>
              <w:rPr>
                <w:rFonts w:hint="eastAsia" w:ascii="宋体" w:hAnsi="宋体" w:eastAsia="宋体" w:cs="宋体"/>
                <w:bCs/>
                <w:sz w:val="21"/>
                <w:szCs w:val="21"/>
              </w:rPr>
              <w:t>讲师</w:t>
            </w:r>
          </w:p>
        </w:tc>
        <w:tc>
          <w:tcPr>
            <w:tcW w:w="992" w:type="dxa"/>
            <w:shd w:val="clear" w:color="auto" w:fill="auto"/>
            <w:noWrap/>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68" w:type="dxa"/>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3</w:t>
            </w:r>
            <w:r>
              <w:rPr>
                <w:rFonts w:ascii="宋体" w:hAnsi="宋体" w:eastAsia="宋体" w:cs="宋体"/>
                <w:kern w:val="0"/>
                <w:sz w:val="21"/>
                <w:szCs w:val="21"/>
              </w:rPr>
              <w:t>4</w:t>
            </w:r>
          </w:p>
        </w:tc>
        <w:tc>
          <w:tcPr>
            <w:tcW w:w="992"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张继龙</w:t>
            </w:r>
          </w:p>
        </w:tc>
        <w:tc>
          <w:tcPr>
            <w:tcW w:w="709"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男</w:t>
            </w:r>
          </w:p>
        </w:tc>
        <w:tc>
          <w:tcPr>
            <w:tcW w:w="709" w:type="dxa"/>
            <w:shd w:val="clear" w:color="auto" w:fill="auto"/>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1995</w:t>
            </w:r>
          </w:p>
        </w:tc>
        <w:tc>
          <w:tcPr>
            <w:tcW w:w="992" w:type="dxa"/>
            <w:shd w:val="clear" w:color="auto" w:fill="auto"/>
            <w:noWrap/>
          </w:tcPr>
          <w:p>
            <w:pPr>
              <w:widowControl/>
              <w:jc w:val="center"/>
              <w:rPr>
                <w:rFonts w:ascii="宋体" w:hAnsi="宋体" w:eastAsia="宋体" w:cs="宋体"/>
                <w:bCs/>
                <w:sz w:val="21"/>
                <w:szCs w:val="21"/>
              </w:rPr>
            </w:pPr>
            <w:r>
              <w:rPr>
                <w:rFonts w:hint="eastAsia" w:ascii="宋体" w:hAnsi="宋体" w:eastAsia="宋体" w:cs="宋体"/>
                <w:bCs/>
                <w:sz w:val="21"/>
                <w:szCs w:val="21"/>
              </w:rPr>
              <w:t>讲师</w:t>
            </w:r>
          </w:p>
        </w:tc>
        <w:tc>
          <w:tcPr>
            <w:tcW w:w="992" w:type="dxa"/>
            <w:shd w:val="clear" w:color="auto" w:fill="auto"/>
            <w:noWrap/>
            <w:vAlign w:val="center"/>
          </w:tcPr>
          <w:p>
            <w:pPr>
              <w:widowControl/>
              <w:jc w:val="center"/>
              <w:rPr>
                <w:rFonts w:ascii="宋体" w:hAnsi="宋体" w:eastAsia="宋体" w:cs="宋体"/>
                <w:bCs/>
                <w:sz w:val="21"/>
                <w:szCs w:val="21"/>
              </w:rPr>
            </w:pPr>
            <w:r>
              <w:rPr>
                <w:rFonts w:hint="eastAsia" w:ascii="宋体" w:hAnsi="宋体" w:eastAsia="宋体" w:cs="宋体"/>
                <w:kern w:val="0"/>
                <w:sz w:val="21"/>
                <w:szCs w:val="21"/>
              </w:rPr>
              <w:t>其它</w:t>
            </w:r>
          </w:p>
        </w:tc>
        <w:tc>
          <w:tcPr>
            <w:tcW w:w="851" w:type="dxa"/>
            <w:shd w:val="clear" w:color="auto" w:fill="auto"/>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教学</w:t>
            </w:r>
          </w:p>
        </w:tc>
        <w:tc>
          <w:tcPr>
            <w:tcW w:w="850" w:type="dxa"/>
            <w:shd w:val="clear" w:color="auto" w:fill="auto"/>
            <w:noWrap/>
            <w:vAlign w:val="center"/>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博士</w:t>
            </w:r>
          </w:p>
        </w:tc>
        <w:tc>
          <w:tcPr>
            <w:tcW w:w="1807" w:type="dxa"/>
            <w:shd w:val="clear" w:color="auto" w:fill="auto"/>
            <w:noWrap/>
            <w:vAlign w:val="center"/>
          </w:tcPr>
          <w:p>
            <w:pPr>
              <w:widowControl/>
              <w:jc w:val="center"/>
              <w:rPr>
                <w:rFonts w:ascii="宋体" w:hAnsi="宋体" w:eastAsia="宋体" w:cs="宋体"/>
                <w:kern w:val="0"/>
                <w:sz w:val="21"/>
                <w:szCs w:val="21"/>
              </w:rPr>
            </w:pPr>
          </w:p>
        </w:tc>
        <w:tc>
          <w:tcPr>
            <w:tcW w:w="745" w:type="dxa"/>
            <w:shd w:val="clear" w:color="auto" w:fill="auto"/>
            <w:noWrap/>
            <w:vAlign w:val="center"/>
          </w:tcPr>
          <w:p>
            <w:pPr>
              <w:widowControl/>
              <w:jc w:val="center"/>
              <w:rPr>
                <w:rFonts w:ascii="宋体" w:hAnsi="宋体" w:eastAsia="宋体" w:cs="宋体"/>
                <w:kern w:val="0"/>
                <w:sz w:val="21"/>
                <w:szCs w:val="21"/>
              </w:rPr>
            </w:pPr>
          </w:p>
        </w:tc>
      </w:tr>
    </w:tbl>
    <w:p>
      <w:pPr>
        <w:spacing w:before="163" w:beforeLines="50" w:after="163" w:afterLines="50"/>
        <w:ind w:firstLine="560" w:firstLineChars="200"/>
        <w:rPr>
          <w:rFonts w:ascii="黑体" w:hAnsi="黑体" w:eastAsia="黑体"/>
          <w:sz w:val="28"/>
          <w:szCs w:val="28"/>
        </w:rPr>
      </w:pPr>
      <w:r>
        <w:rPr>
          <w:rFonts w:hint="eastAsia" w:ascii="黑体" w:hAnsi="黑体" w:eastAsia="黑体"/>
          <w:bCs/>
          <w:sz w:val="28"/>
          <w:szCs w:val="28"/>
        </w:rPr>
        <w:t>（二）</w:t>
      </w:r>
      <w:r>
        <w:rPr>
          <w:rFonts w:hint="eastAsia" w:ascii="黑体" w:hAnsi="黑体" w:eastAsia="黑体"/>
          <w:sz w:val="28"/>
          <w:szCs w:val="28"/>
        </w:rPr>
        <w:t>本年度流动人员情况</w:t>
      </w:r>
    </w:p>
    <w:tbl>
      <w:tblPr>
        <w:tblStyle w:val="7"/>
        <w:tblpPr w:leftFromText="180" w:rightFromText="180" w:vertAnchor="text" w:horzAnchor="page" w:tblpX="1587" w:tblpY="3"/>
        <w:tblOverlap w:val="never"/>
        <w:tblW w:w="5240" w:type="pct"/>
        <w:tblInd w:w="0" w:type="dxa"/>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16"/>
        <w:gridCol w:w="716"/>
        <w:gridCol w:w="768"/>
        <w:gridCol w:w="1300"/>
        <w:gridCol w:w="768"/>
        <w:gridCol w:w="768"/>
        <w:gridCol w:w="1888"/>
        <w:gridCol w:w="768"/>
        <w:gridCol w:w="1233"/>
      </w:tblGrid>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401"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401"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b/>
                <w:bCs/>
                <w:sz w:val="21"/>
                <w:szCs w:val="21"/>
              </w:rPr>
            </w:pPr>
            <w:r>
              <w:rPr>
                <w:rFonts w:hint="eastAsia" w:ascii="宋体" w:hAnsi="宋体" w:eastAsia="宋体" w:cs="宋体"/>
                <w:b/>
                <w:bCs/>
                <w:sz w:val="21"/>
                <w:szCs w:val="21"/>
              </w:rPr>
              <w:t>姓名</w:t>
            </w:r>
          </w:p>
        </w:tc>
        <w:tc>
          <w:tcPr>
            <w:tcW w:w="430"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b/>
                <w:bCs/>
                <w:sz w:val="21"/>
                <w:szCs w:val="21"/>
              </w:rPr>
            </w:pPr>
            <w:r>
              <w:rPr>
                <w:rFonts w:hint="eastAsia" w:ascii="宋体" w:hAnsi="宋体" w:eastAsia="宋体" w:cs="宋体"/>
                <w:b/>
                <w:bCs/>
                <w:sz w:val="21"/>
                <w:szCs w:val="21"/>
              </w:rPr>
              <w:t>性别</w:t>
            </w:r>
          </w:p>
        </w:tc>
        <w:tc>
          <w:tcPr>
            <w:tcW w:w="728"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b/>
                <w:bCs/>
                <w:sz w:val="21"/>
                <w:szCs w:val="21"/>
              </w:rPr>
            </w:pPr>
            <w:r>
              <w:rPr>
                <w:rFonts w:hint="eastAsia" w:ascii="宋体" w:hAnsi="宋体" w:eastAsia="宋体" w:cs="宋体"/>
                <w:b/>
                <w:bCs/>
                <w:sz w:val="21"/>
                <w:szCs w:val="21"/>
              </w:rPr>
              <w:t>出生年份</w:t>
            </w:r>
          </w:p>
        </w:tc>
        <w:tc>
          <w:tcPr>
            <w:tcW w:w="430"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b/>
                <w:bCs/>
                <w:sz w:val="21"/>
                <w:szCs w:val="21"/>
              </w:rPr>
            </w:pPr>
            <w:r>
              <w:rPr>
                <w:rFonts w:hint="eastAsia" w:ascii="宋体" w:hAnsi="宋体" w:eastAsia="宋体" w:cs="宋体"/>
                <w:b/>
                <w:bCs/>
                <w:sz w:val="21"/>
                <w:szCs w:val="21"/>
              </w:rPr>
              <w:t>职称</w:t>
            </w:r>
          </w:p>
        </w:tc>
        <w:tc>
          <w:tcPr>
            <w:tcW w:w="430"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b/>
                <w:bCs/>
                <w:sz w:val="21"/>
                <w:szCs w:val="21"/>
              </w:rPr>
            </w:pPr>
            <w:r>
              <w:rPr>
                <w:rFonts w:hint="eastAsia" w:ascii="宋体" w:hAnsi="宋体" w:eastAsia="宋体" w:cs="宋体"/>
                <w:b/>
                <w:bCs/>
                <w:sz w:val="21"/>
                <w:szCs w:val="21"/>
              </w:rPr>
              <w:t>国别</w:t>
            </w:r>
          </w:p>
        </w:tc>
        <w:tc>
          <w:tcPr>
            <w:tcW w:w="1057"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b/>
                <w:bCs/>
                <w:sz w:val="21"/>
                <w:szCs w:val="21"/>
              </w:rPr>
            </w:pPr>
            <w:r>
              <w:rPr>
                <w:rFonts w:hint="eastAsia" w:ascii="宋体" w:hAnsi="宋体" w:eastAsia="宋体" w:cs="宋体"/>
                <w:b/>
                <w:bCs/>
                <w:sz w:val="21"/>
                <w:szCs w:val="21"/>
              </w:rPr>
              <w:t>工作单位</w:t>
            </w:r>
          </w:p>
        </w:tc>
        <w:tc>
          <w:tcPr>
            <w:tcW w:w="430" w:type="pct"/>
            <w:tcBorders>
              <w:top w:val="single" w:color="auto" w:sz="6" w:space="0"/>
              <w:left w:val="single" w:color="auto" w:sz="4" w:space="0"/>
              <w:bottom w:val="single" w:color="auto" w:sz="6" w:space="0"/>
              <w:right w:val="single" w:color="auto" w:sz="4" w:space="0"/>
            </w:tcBorders>
            <w:vAlign w:val="center"/>
          </w:tcPr>
          <w:p>
            <w:pPr>
              <w:jc w:val="center"/>
              <w:rPr>
                <w:rFonts w:ascii="宋体" w:hAnsi="宋体" w:eastAsia="宋体" w:cs="宋体"/>
                <w:b/>
                <w:bCs/>
                <w:sz w:val="21"/>
                <w:szCs w:val="21"/>
              </w:rPr>
            </w:pPr>
            <w:r>
              <w:rPr>
                <w:rFonts w:hint="eastAsia" w:ascii="宋体" w:hAnsi="宋体" w:eastAsia="宋体" w:cs="宋体"/>
                <w:b/>
                <w:bCs/>
                <w:sz w:val="21"/>
                <w:szCs w:val="21"/>
              </w:rPr>
              <w:t>类型</w:t>
            </w:r>
          </w:p>
        </w:tc>
        <w:tc>
          <w:tcPr>
            <w:tcW w:w="690" w:type="pct"/>
            <w:tcBorders>
              <w:top w:val="single" w:color="auto" w:sz="6" w:space="0"/>
              <w:left w:val="single" w:color="auto" w:sz="4" w:space="0"/>
              <w:bottom w:val="single" w:color="auto" w:sz="6" w:space="0"/>
              <w:right w:val="single" w:color="auto" w:sz="6" w:space="0"/>
            </w:tcBorders>
            <w:vAlign w:val="center"/>
          </w:tcPr>
          <w:p>
            <w:pPr>
              <w:jc w:val="center"/>
              <w:rPr>
                <w:rFonts w:ascii="宋体" w:hAnsi="宋体" w:eastAsia="宋体" w:cs="宋体"/>
                <w:b/>
                <w:bCs/>
                <w:sz w:val="21"/>
                <w:szCs w:val="21"/>
              </w:rPr>
            </w:pPr>
            <w:r>
              <w:rPr>
                <w:rFonts w:hint="eastAsia" w:ascii="宋体" w:hAnsi="宋体" w:eastAsia="宋体" w:cs="宋体"/>
                <w:b/>
                <w:bCs/>
                <w:sz w:val="21"/>
                <w:szCs w:val="21"/>
              </w:rPr>
              <w:t>工作期限</w:t>
            </w: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401"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sz w:val="21"/>
                <w:szCs w:val="21"/>
              </w:rPr>
            </w:pPr>
            <w:r>
              <w:rPr>
                <w:rFonts w:hint="eastAsia" w:ascii="宋体" w:hAnsi="宋体" w:eastAsia="宋体" w:cs="宋体"/>
                <w:sz w:val="21"/>
                <w:szCs w:val="21"/>
              </w:rPr>
              <w:t>1</w:t>
            </w:r>
          </w:p>
        </w:tc>
        <w:tc>
          <w:tcPr>
            <w:tcW w:w="401"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聂磊</w:t>
            </w:r>
          </w:p>
        </w:tc>
        <w:tc>
          <w:tcPr>
            <w:tcW w:w="430"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男</w:t>
            </w:r>
          </w:p>
        </w:tc>
        <w:tc>
          <w:tcPr>
            <w:tcW w:w="728"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1989</w:t>
            </w:r>
          </w:p>
        </w:tc>
        <w:tc>
          <w:tcPr>
            <w:tcW w:w="430"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讲师</w:t>
            </w:r>
          </w:p>
        </w:tc>
        <w:tc>
          <w:tcPr>
            <w:tcW w:w="430"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中国</w:t>
            </w:r>
          </w:p>
        </w:tc>
        <w:tc>
          <w:tcPr>
            <w:tcW w:w="1057"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sz w:val="21"/>
                <w:szCs w:val="21"/>
              </w:rPr>
            </w:pPr>
            <w:r>
              <w:rPr>
                <w:rFonts w:hint="eastAsia" w:ascii="宋体" w:hAnsi="宋体" w:eastAsia="宋体" w:cs="宋体"/>
                <w:sz w:val="21"/>
                <w:szCs w:val="21"/>
              </w:rPr>
              <w:t>北京外国语大学</w:t>
            </w:r>
          </w:p>
        </w:tc>
        <w:tc>
          <w:tcPr>
            <w:tcW w:w="430" w:type="pct"/>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其它</w:t>
            </w:r>
          </w:p>
        </w:tc>
        <w:tc>
          <w:tcPr>
            <w:tcW w:w="690" w:type="pct"/>
            <w:tcBorders>
              <w:top w:val="single" w:color="auto" w:sz="6" w:space="0"/>
              <w:left w:val="single" w:color="auto" w:sz="4" w:space="0"/>
              <w:bottom w:val="single" w:color="auto" w:sz="6" w:space="0"/>
              <w:right w:val="single" w:color="auto" w:sz="6" w:space="0"/>
            </w:tcBorders>
            <w:vAlign w:val="center"/>
          </w:tcPr>
          <w:p>
            <w:pPr>
              <w:jc w:val="center"/>
              <w:rPr>
                <w:rFonts w:ascii="宋体" w:hAnsi="宋体" w:eastAsia="宋体" w:cs="宋体"/>
                <w:sz w:val="21"/>
                <w:szCs w:val="21"/>
              </w:rPr>
            </w:pPr>
          </w:p>
        </w:tc>
      </w:tr>
      <w:tr>
        <w:tblPrEx>
          <w:tblBorders>
            <w:top w:val="single" w:color="auto" w:sz="12" w:space="0"/>
            <w:left w:val="single" w:color="auto" w:sz="12" w:space="0"/>
            <w:bottom w:val="none" w:color="auto" w:sz="0"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401"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w:t>
            </w:r>
          </w:p>
        </w:tc>
        <w:tc>
          <w:tcPr>
            <w:tcW w:w="401"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杨萌</w:t>
            </w:r>
          </w:p>
        </w:tc>
        <w:tc>
          <w:tcPr>
            <w:tcW w:w="430"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女</w:t>
            </w:r>
          </w:p>
        </w:tc>
        <w:tc>
          <w:tcPr>
            <w:tcW w:w="728"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1993</w:t>
            </w:r>
          </w:p>
        </w:tc>
        <w:tc>
          <w:tcPr>
            <w:tcW w:w="430"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讲师</w:t>
            </w:r>
          </w:p>
        </w:tc>
        <w:tc>
          <w:tcPr>
            <w:tcW w:w="430" w:type="pct"/>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中国</w:t>
            </w:r>
          </w:p>
        </w:tc>
        <w:tc>
          <w:tcPr>
            <w:tcW w:w="1057"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宋体"/>
                <w:sz w:val="21"/>
                <w:szCs w:val="21"/>
              </w:rPr>
            </w:pPr>
            <w:r>
              <w:rPr>
                <w:rFonts w:hint="eastAsia" w:ascii="宋体" w:hAnsi="宋体" w:eastAsia="宋体" w:cs="宋体"/>
                <w:sz w:val="21"/>
                <w:szCs w:val="21"/>
              </w:rPr>
              <w:t>北京外国语大学</w:t>
            </w:r>
          </w:p>
        </w:tc>
        <w:tc>
          <w:tcPr>
            <w:tcW w:w="430" w:type="pct"/>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其它</w:t>
            </w:r>
          </w:p>
        </w:tc>
        <w:tc>
          <w:tcPr>
            <w:tcW w:w="690" w:type="pct"/>
            <w:tcBorders>
              <w:top w:val="single" w:color="auto" w:sz="6" w:space="0"/>
              <w:left w:val="single" w:color="auto" w:sz="4"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p>
        </w:tc>
      </w:tr>
    </w:tbl>
    <w:p>
      <w:pPr>
        <w:spacing w:before="163" w:beforeLines="50"/>
        <w:ind w:firstLine="480" w:firstLineChars="200"/>
        <w:rPr>
          <w:rFonts w:ascii="楷体" w:hAnsi="楷体" w:eastAsia="楷体"/>
        </w:rPr>
      </w:pPr>
    </w:p>
    <w:p>
      <w:pPr>
        <w:spacing w:before="163" w:beforeLines="50" w:after="163" w:afterLines="50"/>
        <w:ind w:firstLine="560" w:firstLineChars="200"/>
        <w:rPr>
          <w:rFonts w:ascii="黑体" w:hAnsi="黑体" w:eastAsia="黑体" w:cs="仿宋_GB2312"/>
          <w:bCs/>
          <w:sz w:val="28"/>
          <w:szCs w:val="28"/>
        </w:rPr>
      </w:pPr>
      <w:r>
        <w:rPr>
          <w:rFonts w:hint="eastAsia" w:ascii="黑体" w:hAnsi="黑体" w:eastAsia="黑体"/>
          <w:sz w:val="28"/>
          <w:szCs w:val="28"/>
        </w:rPr>
        <w:t>（三）本年度</w:t>
      </w:r>
      <w:r>
        <w:rPr>
          <w:rFonts w:hint="eastAsia" w:ascii="黑体" w:hAnsi="黑体" w:eastAsia="黑体" w:cs="仿宋_GB2312"/>
          <w:bCs/>
          <w:sz w:val="28"/>
          <w:szCs w:val="28"/>
        </w:rPr>
        <w:t>教学指导委员会人员情况</w:t>
      </w:r>
    </w:p>
    <w:tbl>
      <w:tblPr>
        <w:tblStyle w:val="7"/>
        <w:tblW w:w="5147" w:type="pct"/>
        <w:tblInd w:w="-15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054"/>
        <w:gridCol w:w="717"/>
        <w:gridCol w:w="719"/>
        <w:gridCol w:w="985"/>
        <w:gridCol w:w="901"/>
        <w:gridCol w:w="1078"/>
        <w:gridCol w:w="1024"/>
        <w:gridCol w:w="698"/>
        <w:gridCol w:w="99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序号</w:t>
            </w:r>
          </w:p>
        </w:tc>
        <w:tc>
          <w:tcPr>
            <w:tcW w:w="601"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姓名</w:t>
            </w:r>
          </w:p>
        </w:tc>
        <w:tc>
          <w:tcPr>
            <w:tcW w:w="409"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性别</w:t>
            </w:r>
          </w:p>
        </w:tc>
        <w:tc>
          <w:tcPr>
            <w:tcW w:w="410"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出生年份</w:t>
            </w:r>
          </w:p>
        </w:tc>
        <w:tc>
          <w:tcPr>
            <w:tcW w:w="562"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职称</w:t>
            </w:r>
          </w:p>
        </w:tc>
        <w:tc>
          <w:tcPr>
            <w:tcW w:w="514"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职务</w:t>
            </w:r>
          </w:p>
        </w:tc>
        <w:tc>
          <w:tcPr>
            <w:tcW w:w="615"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国别</w:t>
            </w:r>
          </w:p>
        </w:tc>
        <w:tc>
          <w:tcPr>
            <w:tcW w:w="584"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工作单位</w:t>
            </w:r>
          </w:p>
        </w:tc>
        <w:tc>
          <w:tcPr>
            <w:tcW w:w="398"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类型</w:t>
            </w:r>
          </w:p>
        </w:tc>
        <w:tc>
          <w:tcPr>
            <w:tcW w:w="568" w:type="pct"/>
            <w:tcBorders>
              <w:tl2br w:val="nil"/>
              <w:tr2bl w:val="nil"/>
            </w:tcBorders>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参会次数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李春丽</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女</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1965</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副教授</w:t>
            </w: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主任委员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vAlign w:val="center"/>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2</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宋泽宁</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女</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1975</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副教授</w:t>
            </w: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主任委员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vAlign w:val="center"/>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3</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邵明星</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女</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1982</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副教授</w:t>
            </w: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主任委员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4</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李文斌</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男</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1984</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主任委员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5</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何蓉</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女</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1970</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教授</w:t>
            </w: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6</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任康钰</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女</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1974</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教授</w:t>
            </w: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7</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王敏</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女</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1976</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教授</w:t>
            </w: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8</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范静</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女</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1980</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教授</w:t>
            </w: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9</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宋衍蘅</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女</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1973</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副教授</w:t>
            </w: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33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10</w:t>
            </w:r>
          </w:p>
        </w:tc>
        <w:tc>
          <w:tcPr>
            <w:tcW w:w="601"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陈茵</w:t>
            </w:r>
          </w:p>
        </w:tc>
        <w:tc>
          <w:tcPr>
            <w:tcW w:w="409"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女</w:t>
            </w:r>
          </w:p>
        </w:tc>
        <w:tc>
          <w:tcPr>
            <w:tcW w:w="410"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1975</w:t>
            </w:r>
          </w:p>
        </w:tc>
        <w:tc>
          <w:tcPr>
            <w:tcW w:w="562"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副教授</w:t>
            </w:r>
          </w:p>
        </w:tc>
        <w:tc>
          <w:tcPr>
            <w:tcW w:w="51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委员</w:t>
            </w:r>
          </w:p>
        </w:tc>
        <w:tc>
          <w:tcPr>
            <w:tcW w:w="615"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国际商学院</w:t>
            </w:r>
          </w:p>
        </w:tc>
        <w:tc>
          <w:tcPr>
            <w:tcW w:w="584"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校内专家</w:t>
            </w:r>
          </w:p>
        </w:tc>
        <w:tc>
          <w:tcPr>
            <w:tcW w:w="398" w:type="pct"/>
            <w:tcBorders>
              <w:tl2br w:val="nil"/>
              <w:tr2bl w:val="nil"/>
            </w:tcBorders>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中国</w:t>
            </w:r>
          </w:p>
        </w:tc>
        <w:tc>
          <w:tcPr>
            <w:tcW w:w="568" w:type="pct"/>
            <w:tcBorders>
              <w:top w:val="single" w:color="auto" w:sz="6" w:space="0"/>
              <w:left w:val="single" w:color="auto" w:sz="4" w:space="0"/>
              <w:bottom w:val="single" w:color="auto" w:sz="6" w:space="0"/>
              <w:right w:val="single" w:color="auto" w:sz="6" w:space="0"/>
            </w:tcBorders>
            <w:shd w:val="clear" w:color="auto" w:fill="FFFFFF" w:themeFill="background1"/>
          </w:tcPr>
          <w:p>
            <w:pPr>
              <w:adjustRightInd w:val="0"/>
              <w:snapToGrid w:val="0"/>
              <w:jc w:val="center"/>
              <w:rPr>
                <w:rFonts w:asciiTheme="minorEastAsia" w:hAnsiTheme="minorEastAsia" w:cstheme="minorEastAsia"/>
                <w:sz w:val="21"/>
                <w:szCs w:val="21"/>
              </w:rPr>
            </w:pPr>
            <w:r>
              <w:rPr>
                <w:rFonts w:hint="eastAsia" w:ascii="宋体" w:hAnsi="宋体" w:eastAsia="宋体" w:cs="宋体"/>
                <w:sz w:val="21"/>
                <w:szCs w:val="21"/>
              </w:rPr>
              <w:t>2021年3月至今</w:t>
            </w:r>
          </w:p>
        </w:tc>
      </w:tr>
    </w:tbl>
    <w:p>
      <w:pPr>
        <w:rPr>
          <w:rFonts w:hint="eastAsia" w:ascii="黑体" w:hAnsi="黑体" w:eastAsia="黑体"/>
          <w:b/>
          <w:bCs/>
          <w:sz w:val="32"/>
          <w:szCs w:val="32"/>
        </w:rPr>
      </w:pPr>
    </w:p>
    <w:p>
      <w:pPr>
        <w:rPr>
          <w:rFonts w:ascii="黑体" w:hAnsi="黑体" w:eastAsia="黑体"/>
          <w:b/>
          <w:bCs/>
          <w:sz w:val="32"/>
          <w:szCs w:val="32"/>
        </w:rPr>
      </w:pPr>
      <w:r>
        <w:rPr>
          <w:rFonts w:hint="eastAsia" w:ascii="黑体" w:hAnsi="黑体" w:eastAsia="黑体"/>
          <w:b/>
          <w:bCs/>
          <w:sz w:val="32"/>
          <w:szCs w:val="32"/>
        </w:rPr>
        <w:t>三、人才培养情况</w:t>
      </w:r>
    </w:p>
    <w:p>
      <w:pPr>
        <w:spacing w:after="163" w:afterLines="50"/>
        <w:rPr>
          <w:rFonts w:ascii="宋体" w:hAnsi="宋体" w:eastAsia="宋体" w:cs="宋体"/>
          <w:bCs/>
          <w:sz w:val="28"/>
          <w:szCs w:val="28"/>
        </w:rPr>
      </w:pPr>
      <w:r>
        <w:rPr>
          <w:rFonts w:hint="eastAsia" w:ascii="黑体" w:hAnsi="黑体" w:eastAsia="黑体"/>
          <w:bCs/>
          <w:sz w:val="28"/>
          <w:szCs w:val="28"/>
        </w:rPr>
        <w:t>（一）示范中心实验教学面向所在学校专业及学生情况</w:t>
      </w:r>
    </w:p>
    <w:tbl>
      <w:tblPr>
        <w:tblStyle w:val="8"/>
        <w:tblW w:w="4721"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1"/>
        <w:gridCol w:w="3351"/>
        <w:gridCol w:w="1607"/>
        <w:gridCol w:w="1455"/>
        <w:gridCol w:w="11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7" w:hRule="atLeast"/>
          <w:jc w:val="center"/>
        </w:trPr>
        <w:tc>
          <w:tcPr>
            <w:tcW w:w="318" w:type="pct"/>
            <w:vMerge w:val="restart"/>
            <w:vAlign w:val="center"/>
          </w:tcPr>
          <w:p>
            <w:pPr>
              <w:jc w:val="center"/>
              <w:rPr>
                <w:rFonts w:asciiTheme="minorEastAsia" w:hAnsiTheme="minorEastAsia" w:cstheme="minorEastAsia"/>
                <w:b/>
                <w:sz w:val="21"/>
                <w:szCs w:val="21"/>
              </w:rPr>
            </w:pPr>
            <w:r>
              <w:rPr>
                <w:rFonts w:hint="eastAsia" w:asciiTheme="minorEastAsia" w:hAnsiTheme="minorEastAsia" w:cstheme="minorEastAsia"/>
                <w:b/>
                <w:sz w:val="21"/>
                <w:szCs w:val="21"/>
              </w:rPr>
              <w:t>序号</w:t>
            </w:r>
          </w:p>
        </w:tc>
        <w:tc>
          <w:tcPr>
            <w:tcW w:w="3083" w:type="pct"/>
            <w:gridSpan w:val="2"/>
            <w:vAlign w:val="center"/>
          </w:tcPr>
          <w:p>
            <w:pPr>
              <w:jc w:val="center"/>
              <w:rPr>
                <w:rFonts w:asciiTheme="minorEastAsia" w:hAnsiTheme="minorEastAsia" w:cstheme="minorEastAsia"/>
                <w:b/>
                <w:sz w:val="21"/>
                <w:szCs w:val="21"/>
              </w:rPr>
            </w:pPr>
            <w:r>
              <w:rPr>
                <w:rFonts w:hint="eastAsia" w:asciiTheme="minorEastAsia" w:hAnsiTheme="minorEastAsia" w:cstheme="minorEastAsia"/>
                <w:b/>
                <w:sz w:val="21"/>
                <w:szCs w:val="21"/>
              </w:rPr>
              <w:t>面向的专业</w:t>
            </w:r>
          </w:p>
        </w:tc>
        <w:tc>
          <w:tcPr>
            <w:tcW w:w="905" w:type="pct"/>
            <w:vMerge w:val="restart"/>
            <w:vAlign w:val="center"/>
          </w:tcPr>
          <w:p>
            <w:pPr>
              <w:jc w:val="center"/>
              <w:rPr>
                <w:rFonts w:asciiTheme="minorEastAsia" w:hAnsiTheme="minorEastAsia" w:cstheme="minorEastAsia"/>
                <w:b/>
                <w:color w:val="000000" w:themeColor="text1"/>
                <w:sz w:val="21"/>
                <w:szCs w:val="21"/>
                <w14:textFill>
                  <w14:solidFill>
                    <w14:schemeClr w14:val="tx1"/>
                  </w14:solidFill>
                </w14:textFill>
              </w:rPr>
            </w:pPr>
            <w:r>
              <w:rPr>
                <w:rFonts w:hint="eastAsia" w:asciiTheme="minorEastAsia" w:hAnsiTheme="minorEastAsia" w:cstheme="minorEastAsia"/>
                <w:b/>
                <w:color w:val="000000" w:themeColor="text1"/>
                <w:sz w:val="21"/>
                <w:szCs w:val="21"/>
                <w14:textFill>
                  <w14:solidFill>
                    <w14:schemeClr w14:val="tx1"/>
                  </w14:solidFill>
                </w14:textFill>
              </w:rPr>
              <w:t>学生人数</w:t>
            </w:r>
          </w:p>
        </w:tc>
        <w:tc>
          <w:tcPr>
            <w:tcW w:w="694" w:type="pct"/>
            <w:vMerge w:val="restart"/>
            <w:vAlign w:val="center"/>
          </w:tcPr>
          <w:p>
            <w:pPr>
              <w:jc w:val="center"/>
              <w:rPr>
                <w:rFonts w:asciiTheme="minorEastAsia" w:hAnsiTheme="minorEastAsia" w:cstheme="minorEastAsia"/>
                <w:b/>
                <w:color w:val="000000" w:themeColor="text1"/>
                <w:sz w:val="21"/>
                <w:szCs w:val="21"/>
                <w14:textFill>
                  <w14:solidFill>
                    <w14:schemeClr w14:val="tx1"/>
                  </w14:solidFill>
                </w14:textFill>
              </w:rPr>
            </w:pPr>
            <w:r>
              <w:rPr>
                <w:rFonts w:hint="eastAsia" w:asciiTheme="minorEastAsia" w:hAnsiTheme="minorEastAsia" w:cstheme="minorEastAsia"/>
                <w:b/>
                <w:color w:val="000000" w:themeColor="text1"/>
                <w:sz w:val="21"/>
                <w:szCs w:val="21"/>
                <w14:textFill>
                  <w14:solidFill>
                    <w14:schemeClr w14:val="tx1"/>
                  </w14:solidFill>
                </w14:textFill>
              </w:rPr>
              <w:t>人时数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Merge w:val="continue"/>
          </w:tcPr>
          <w:p>
            <w:pPr>
              <w:rPr>
                <w:rFonts w:asciiTheme="minorEastAsia" w:hAnsiTheme="minorEastAsia" w:cstheme="minorEastAsia"/>
                <w:b/>
                <w:sz w:val="21"/>
                <w:szCs w:val="21"/>
              </w:rPr>
            </w:pPr>
          </w:p>
        </w:tc>
        <w:tc>
          <w:tcPr>
            <w:tcW w:w="2084" w:type="pct"/>
            <w:vAlign w:val="center"/>
          </w:tcPr>
          <w:p>
            <w:pPr>
              <w:jc w:val="center"/>
              <w:rPr>
                <w:rFonts w:asciiTheme="minorEastAsia" w:hAnsiTheme="minorEastAsia" w:cstheme="minorEastAsia"/>
                <w:b/>
                <w:sz w:val="21"/>
                <w:szCs w:val="21"/>
              </w:rPr>
            </w:pPr>
            <w:r>
              <w:rPr>
                <w:rFonts w:hint="eastAsia" w:asciiTheme="minorEastAsia" w:hAnsiTheme="minorEastAsia" w:cstheme="minorEastAsia"/>
                <w:b/>
                <w:sz w:val="21"/>
                <w:szCs w:val="21"/>
              </w:rPr>
              <w:t>专业名称</w:t>
            </w:r>
          </w:p>
        </w:tc>
        <w:tc>
          <w:tcPr>
            <w:tcW w:w="999" w:type="pct"/>
            <w:vAlign w:val="center"/>
          </w:tcPr>
          <w:p>
            <w:pPr>
              <w:jc w:val="center"/>
              <w:rPr>
                <w:rFonts w:asciiTheme="minorEastAsia" w:hAnsiTheme="minorEastAsia" w:cstheme="minorEastAsia"/>
                <w:b/>
                <w:sz w:val="21"/>
                <w:szCs w:val="21"/>
              </w:rPr>
            </w:pPr>
            <w:r>
              <w:rPr>
                <w:rFonts w:hint="eastAsia" w:asciiTheme="minorEastAsia" w:hAnsiTheme="minorEastAsia" w:cstheme="minorEastAsia"/>
                <w:b/>
                <w:sz w:val="21"/>
                <w:szCs w:val="21"/>
              </w:rPr>
              <w:t>年级</w:t>
            </w:r>
          </w:p>
        </w:tc>
        <w:tc>
          <w:tcPr>
            <w:tcW w:w="905" w:type="pct"/>
            <w:vMerge w:val="continue"/>
            <w:tcBorders>
              <w:bottom w:val="single" w:color="auto" w:sz="4" w:space="0"/>
            </w:tcBorders>
          </w:tcPr>
          <w:p>
            <w:pPr>
              <w:rPr>
                <w:rFonts w:asciiTheme="minorEastAsia" w:hAnsiTheme="minorEastAsia" w:cstheme="minorEastAsia"/>
                <w:b/>
                <w:bCs/>
                <w:sz w:val="21"/>
                <w:szCs w:val="21"/>
              </w:rPr>
            </w:pPr>
          </w:p>
        </w:tc>
        <w:tc>
          <w:tcPr>
            <w:tcW w:w="694" w:type="pct"/>
            <w:vMerge w:val="continue"/>
            <w:tcBorders>
              <w:bottom w:val="single" w:color="auto" w:sz="4" w:space="0"/>
            </w:tcBorders>
          </w:tcPr>
          <w:p>
            <w:pPr>
              <w:rPr>
                <w:rFonts w:asciiTheme="minorEastAsia" w:hAnsiTheme="minorEastAsia" w:cstheme="minorEastAsia"/>
                <w:b/>
                <w:bCs/>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国际经济与贸易</w:t>
            </w:r>
          </w:p>
        </w:tc>
        <w:tc>
          <w:tcPr>
            <w:tcW w:w="999" w:type="pct"/>
            <w:tcBorders>
              <w:right w:val="single" w:color="auto" w:sz="4" w:space="0"/>
            </w:tcBorders>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70</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2240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hint="eastAsia" w:asciiTheme="minorEastAsia" w:hAnsiTheme="minorEastAsia" w:cstheme="minorEastAsia"/>
                <w:kern w:val="0"/>
                <w:sz w:val="21"/>
                <w:szCs w:val="21"/>
              </w:rPr>
              <w:t>2</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国际经济与贸易（中外合作）</w:t>
            </w:r>
          </w:p>
        </w:tc>
        <w:tc>
          <w:tcPr>
            <w:tcW w:w="999" w:type="pct"/>
            <w:tcBorders>
              <w:right w:val="single" w:color="auto" w:sz="4" w:space="0"/>
            </w:tcBorders>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75</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2400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hint="eastAsia" w:asciiTheme="minorEastAsia" w:hAnsiTheme="minorEastAsia" w:cstheme="minorEastAsia"/>
                <w:kern w:val="0"/>
                <w:sz w:val="21"/>
                <w:szCs w:val="21"/>
              </w:rPr>
              <w:t>3</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金融学</w:t>
            </w:r>
          </w:p>
        </w:tc>
        <w:tc>
          <w:tcPr>
            <w:tcW w:w="999" w:type="pct"/>
            <w:tcBorders>
              <w:right w:val="single" w:color="auto" w:sz="4" w:space="0"/>
            </w:tcBorders>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90</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2880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hint="eastAsia" w:asciiTheme="minorEastAsia" w:hAnsiTheme="minorEastAsia" w:cstheme="minorEastAsia"/>
                <w:kern w:val="0"/>
                <w:sz w:val="21"/>
                <w:szCs w:val="21"/>
              </w:rPr>
              <w:t>4</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金融学（俄语与俄语国家研究）</w:t>
            </w:r>
          </w:p>
        </w:tc>
        <w:tc>
          <w:tcPr>
            <w:tcW w:w="999" w:type="pct"/>
            <w:tcBorders>
              <w:right w:val="single" w:color="auto" w:sz="4" w:space="0"/>
            </w:tcBorders>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30</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960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hint="eastAsia" w:asciiTheme="minorEastAsia" w:hAnsiTheme="minorEastAsia" w:cstheme="minorEastAsia"/>
                <w:kern w:val="0"/>
                <w:sz w:val="21"/>
                <w:szCs w:val="21"/>
              </w:rPr>
              <w:t>5</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国际商务（德语与德语国家研究）</w:t>
            </w:r>
          </w:p>
        </w:tc>
        <w:tc>
          <w:tcPr>
            <w:tcW w:w="999" w:type="pct"/>
            <w:tcBorders>
              <w:right w:val="single" w:color="auto" w:sz="4" w:space="0"/>
            </w:tcBorders>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27</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864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b/>
                <w:bCs/>
                <w:sz w:val="21"/>
                <w:szCs w:val="21"/>
              </w:rPr>
            </w:pPr>
            <w:r>
              <w:rPr>
                <w:rFonts w:asciiTheme="minorEastAsia" w:hAnsiTheme="minorEastAsia" w:cstheme="minorEastAsia"/>
                <w:kern w:val="0"/>
                <w:sz w:val="21"/>
                <w:szCs w:val="21"/>
              </w:rPr>
              <w:t>6</w:t>
            </w:r>
          </w:p>
        </w:tc>
        <w:tc>
          <w:tcPr>
            <w:tcW w:w="2084" w:type="pct"/>
            <w:vAlign w:val="center"/>
          </w:tcPr>
          <w:p>
            <w:pPr>
              <w:jc w:val="center"/>
              <w:rPr>
                <w:rFonts w:asciiTheme="minorEastAsia" w:hAnsiTheme="minorEastAsia" w:cstheme="minorEastAsia"/>
                <w:bCs/>
                <w:sz w:val="21"/>
                <w:szCs w:val="21"/>
              </w:rPr>
            </w:pPr>
            <w:r>
              <w:rPr>
                <w:rFonts w:hint="eastAsia" w:asciiTheme="minorEastAsia" w:hAnsiTheme="minorEastAsia" w:cstheme="minorEastAsia"/>
                <w:kern w:val="0"/>
                <w:sz w:val="21"/>
                <w:szCs w:val="21"/>
              </w:rPr>
              <w:t>信息管理与信息系统</w:t>
            </w:r>
          </w:p>
        </w:tc>
        <w:tc>
          <w:tcPr>
            <w:tcW w:w="999" w:type="pct"/>
            <w:tcBorders>
              <w:right w:val="single" w:color="auto" w:sz="4" w:space="0"/>
            </w:tcBorders>
          </w:tcPr>
          <w:p>
            <w:pPr>
              <w:jc w:val="center"/>
              <w:rPr>
                <w:rFonts w:asciiTheme="minorEastAsia" w:hAnsiTheme="minorEastAsia" w:cstheme="minorEastAsia"/>
                <w:bCs/>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66</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2112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hint="eastAsia" w:asciiTheme="minorEastAsia" w:hAnsiTheme="minorEastAsia" w:cstheme="minorEastAsia"/>
                <w:kern w:val="0"/>
                <w:sz w:val="21"/>
                <w:szCs w:val="21"/>
              </w:rPr>
              <w:t>7</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会计学</w:t>
            </w:r>
          </w:p>
        </w:tc>
        <w:tc>
          <w:tcPr>
            <w:tcW w:w="999" w:type="pct"/>
            <w:tcBorders>
              <w:right w:val="single" w:color="auto" w:sz="4" w:space="0"/>
            </w:tcBorders>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57</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1824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hint="eastAsia" w:asciiTheme="minorEastAsia" w:hAnsiTheme="minorEastAsia" w:cstheme="minorEastAsia"/>
                <w:kern w:val="0"/>
                <w:sz w:val="21"/>
                <w:szCs w:val="21"/>
              </w:rPr>
              <w:t>8</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财务管理</w:t>
            </w:r>
          </w:p>
        </w:tc>
        <w:tc>
          <w:tcPr>
            <w:tcW w:w="999" w:type="pct"/>
            <w:tcBorders>
              <w:right w:val="single" w:color="auto" w:sz="4" w:space="0"/>
            </w:tcBorders>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62</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1984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hint="eastAsia" w:asciiTheme="minorEastAsia" w:hAnsiTheme="minorEastAsia" w:cstheme="minorEastAsia"/>
                <w:kern w:val="0"/>
                <w:sz w:val="21"/>
                <w:szCs w:val="21"/>
              </w:rPr>
              <w:t>9</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工商管理</w:t>
            </w:r>
          </w:p>
        </w:tc>
        <w:tc>
          <w:tcPr>
            <w:tcW w:w="999" w:type="pct"/>
            <w:tcBorders>
              <w:right w:val="single" w:color="auto" w:sz="4" w:space="0"/>
            </w:tcBorders>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55</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1760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0</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国际商务</w:t>
            </w:r>
          </w:p>
        </w:tc>
        <w:tc>
          <w:tcPr>
            <w:tcW w:w="999" w:type="pct"/>
            <w:tcBorders>
              <w:right w:val="single" w:color="auto" w:sz="4" w:space="0"/>
            </w:tcBorders>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51</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1632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jc w:val="center"/>
        </w:trPr>
        <w:tc>
          <w:tcPr>
            <w:tcW w:w="318" w:type="pct"/>
            <w:vAlign w:val="center"/>
          </w:tcPr>
          <w:p>
            <w:pPr>
              <w:rPr>
                <w:rFonts w:asciiTheme="minorEastAsia" w:hAnsiTheme="minorEastAsia" w:cstheme="minorEastAsia"/>
                <w:kern w:val="0"/>
                <w:sz w:val="21"/>
                <w:szCs w:val="21"/>
              </w:rPr>
            </w:pPr>
            <w:r>
              <w:rPr>
                <w:rFonts w:asciiTheme="minorEastAsia" w:hAnsiTheme="minorEastAsia" w:cstheme="minorEastAsia"/>
                <w:kern w:val="0"/>
                <w:sz w:val="21"/>
                <w:szCs w:val="21"/>
              </w:rPr>
              <w:t>11</w:t>
            </w:r>
          </w:p>
        </w:tc>
        <w:tc>
          <w:tcPr>
            <w:tcW w:w="2084" w:type="pct"/>
            <w:vAlign w:val="center"/>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电子商务</w:t>
            </w:r>
          </w:p>
        </w:tc>
        <w:tc>
          <w:tcPr>
            <w:tcW w:w="999" w:type="pct"/>
            <w:tcBorders>
              <w:right w:val="single" w:color="auto" w:sz="4" w:space="0"/>
            </w:tcBorders>
          </w:tcPr>
          <w:p>
            <w:pPr>
              <w:jc w:val="center"/>
              <w:rPr>
                <w:rFonts w:asciiTheme="minorEastAsia" w:hAnsiTheme="minorEastAsia" w:cstheme="minorEastAsia"/>
                <w:kern w:val="0"/>
                <w:sz w:val="21"/>
                <w:szCs w:val="21"/>
              </w:rPr>
            </w:pPr>
            <w:r>
              <w:rPr>
                <w:rFonts w:hint="eastAsia" w:asciiTheme="minorEastAsia" w:hAnsiTheme="minorEastAsia" w:cstheme="minorEastAsia"/>
                <w:kern w:val="0"/>
                <w:sz w:val="21"/>
                <w:szCs w:val="21"/>
              </w:rPr>
              <w:t>1</w:t>
            </w:r>
            <w:r>
              <w:rPr>
                <w:rFonts w:asciiTheme="minorEastAsia" w:hAnsiTheme="minorEastAsia" w:cstheme="minorEastAsia"/>
                <w:kern w:val="0"/>
                <w:sz w:val="21"/>
                <w:szCs w:val="21"/>
              </w:rPr>
              <w:t>-3</w:t>
            </w:r>
            <w:r>
              <w:rPr>
                <w:rFonts w:hint="eastAsia" w:asciiTheme="minorEastAsia" w:hAnsiTheme="minorEastAsia" w:cstheme="minorEastAsia"/>
                <w:kern w:val="0"/>
                <w:sz w:val="21"/>
                <w:szCs w:val="21"/>
              </w:rPr>
              <w:t>年级</w:t>
            </w:r>
          </w:p>
        </w:tc>
        <w:tc>
          <w:tcPr>
            <w:tcW w:w="90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stheme="minorEastAsia"/>
                <w:sz w:val="21"/>
                <w:szCs w:val="21"/>
              </w:rPr>
            </w:pPr>
            <w:r>
              <w:rPr>
                <w:rFonts w:asciiTheme="minorEastAsia" w:hAnsiTheme="minorEastAsia" w:cstheme="minorEastAsia"/>
                <w:sz w:val="21"/>
                <w:szCs w:val="21"/>
              </w:rPr>
              <w:t>25</w:t>
            </w:r>
          </w:p>
        </w:tc>
        <w:tc>
          <w:tcPr>
            <w:tcW w:w="694" w:type="pct"/>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cstheme="minorEastAsia"/>
                <w:sz w:val="21"/>
                <w:szCs w:val="21"/>
              </w:rPr>
            </w:pPr>
            <w:r>
              <w:rPr>
                <w:rFonts w:hint="eastAsia" w:asciiTheme="minorEastAsia" w:hAnsiTheme="minorEastAsia" w:cstheme="minorEastAsia"/>
                <w:sz w:val="21"/>
                <w:szCs w:val="21"/>
              </w:rPr>
              <w:t>800</w:t>
            </w:r>
          </w:p>
        </w:tc>
      </w:tr>
    </w:tbl>
    <w:p>
      <w:pPr>
        <w:spacing w:after="163" w:afterLines="50"/>
        <w:rPr>
          <w:rFonts w:ascii="黑体" w:hAnsi="黑体" w:eastAsia="黑体"/>
          <w:bCs/>
          <w:sz w:val="28"/>
          <w:szCs w:val="28"/>
        </w:rPr>
      </w:pPr>
    </w:p>
    <w:p>
      <w:pPr>
        <w:spacing w:after="163" w:afterLines="50"/>
        <w:rPr>
          <w:rFonts w:ascii="黑体" w:hAnsi="黑体" w:eastAsia="黑体"/>
          <w:bCs/>
          <w:sz w:val="28"/>
          <w:szCs w:val="28"/>
        </w:rPr>
      </w:pPr>
    </w:p>
    <w:p>
      <w:pPr>
        <w:spacing w:after="163" w:afterLines="50"/>
        <w:rPr>
          <w:rFonts w:ascii="黑体" w:hAnsi="黑体" w:eastAsia="黑体"/>
          <w:bCs/>
          <w:sz w:val="28"/>
          <w:szCs w:val="28"/>
        </w:rPr>
      </w:pPr>
    </w:p>
    <w:p>
      <w:pPr>
        <w:spacing w:after="163" w:afterLines="50"/>
        <w:rPr>
          <w:rFonts w:ascii="黑体" w:hAnsi="黑体" w:eastAsia="黑体"/>
          <w:bCs/>
          <w:sz w:val="28"/>
          <w:szCs w:val="28"/>
        </w:rPr>
      </w:pPr>
      <w:r>
        <w:rPr>
          <w:rFonts w:hint="eastAsia" w:ascii="黑体" w:hAnsi="黑体" w:eastAsia="黑体"/>
          <w:bCs/>
          <w:sz w:val="28"/>
          <w:szCs w:val="28"/>
        </w:rPr>
        <w:t>（二）实验教学资源情况</w:t>
      </w:r>
    </w:p>
    <w:tbl>
      <w:tblPr>
        <w:tblStyle w:val="8"/>
        <w:tblW w:w="4904" w:type="pct"/>
        <w:tblInd w:w="7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400"/>
        <w:gridCol w:w="395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5" w:hRule="atLeast"/>
        </w:trPr>
        <w:tc>
          <w:tcPr>
            <w:tcW w:w="2634" w:type="pct"/>
            <w:vAlign w:val="center"/>
          </w:tcPr>
          <w:p>
            <w:pPr>
              <w:jc w:val="center"/>
              <w:rPr>
                <w:rFonts w:ascii="宋体" w:hAnsi="宋体" w:eastAsia="宋体" w:cs="宋体"/>
                <w:bCs/>
                <w:sz w:val="21"/>
                <w:szCs w:val="21"/>
              </w:rPr>
            </w:pPr>
            <w:r>
              <w:rPr>
                <w:rFonts w:hint="eastAsia" w:ascii="宋体" w:hAnsi="宋体" w:eastAsia="宋体" w:cs="宋体"/>
                <w:bCs/>
                <w:sz w:val="21"/>
                <w:szCs w:val="21"/>
              </w:rPr>
              <w:t>实验项目资源总数</w:t>
            </w:r>
          </w:p>
        </w:tc>
        <w:tc>
          <w:tcPr>
            <w:tcW w:w="2366" w:type="pct"/>
          </w:tcPr>
          <w:p>
            <w:pPr>
              <w:jc w:val="right"/>
              <w:rPr>
                <w:rFonts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13个</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5" w:hRule="atLeast"/>
        </w:trPr>
        <w:tc>
          <w:tcPr>
            <w:tcW w:w="2634" w:type="pct"/>
            <w:vAlign w:val="center"/>
          </w:tcPr>
          <w:p>
            <w:pPr>
              <w:jc w:val="center"/>
              <w:rPr>
                <w:rFonts w:ascii="宋体" w:hAnsi="宋体" w:eastAsia="宋体" w:cs="宋体"/>
                <w:bCs/>
                <w:sz w:val="21"/>
                <w:szCs w:val="21"/>
              </w:rPr>
            </w:pPr>
            <w:r>
              <w:rPr>
                <w:rFonts w:hint="eastAsia" w:ascii="宋体" w:hAnsi="宋体" w:eastAsia="宋体" w:cs="宋体"/>
                <w:bCs/>
                <w:sz w:val="21"/>
                <w:szCs w:val="21"/>
              </w:rPr>
              <w:t>年度开设实验项目数</w:t>
            </w:r>
          </w:p>
        </w:tc>
        <w:tc>
          <w:tcPr>
            <w:tcW w:w="2366" w:type="pct"/>
          </w:tcPr>
          <w:p>
            <w:pPr>
              <w:jc w:val="right"/>
              <w:rPr>
                <w:rFonts w:ascii="宋体" w:hAnsi="宋体" w:eastAsia="宋体" w:cs="宋体"/>
                <w:bCs/>
                <w:color w:val="000000" w:themeColor="text1"/>
                <w:sz w:val="21"/>
                <w:szCs w:val="21"/>
                <w14:textFill>
                  <w14:solidFill>
                    <w14:schemeClr w14:val="tx1"/>
                  </w14:solidFill>
                </w14:textFill>
              </w:rPr>
            </w:pPr>
            <w:r>
              <w:rPr>
                <w:rFonts w:ascii="宋体" w:hAnsi="宋体" w:eastAsia="宋体" w:cs="宋体"/>
                <w:bCs/>
                <w:color w:val="000000" w:themeColor="text1"/>
                <w:sz w:val="21"/>
                <w:szCs w:val="21"/>
                <w14:textFill>
                  <w14:solidFill>
                    <w14:schemeClr w14:val="tx1"/>
                  </w14:solidFill>
                </w14:textFill>
              </w:rPr>
              <w:t>3</w:t>
            </w:r>
            <w:r>
              <w:rPr>
                <w:rFonts w:hint="eastAsia" w:ascii="宋体" w:hAnsi="宋体" w:eastAsia="宋体" w:cs="宋体"/>
                <w:bCs/>
                <w:color w:val="000000" w:themeColor="text1"/>
                <w:sz w:val="21"/>
                <w:szCs w:val="21"/>
                <w14:textFill>
                  <w14:solidFill>
                    <w14:schemeClr w14:val="tx1"/>
                  </w14:solidFill>
                </w14:textFill>
              </w:rPr>
              <w:t>个</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5" w:hRule="atLeast"/>
        </w:trPr>
        <w:tc>
          <w:tcPr>
            <w:tcW w:w="2634" w:type="pct"/>
            <w:vAlign w:val="center"/>
          </w:tcPr>
          <w:p>
            <w:pPr>
              <w:jc w:val="center"/>
              <w:rPr>
                <w:rFonts w:ascii="宋体" w:hAnsi="宋体" w:eastAsia="宋体" w:cs="宋体"/>
                <w:bCs/>
                <w:sz w:val="21"/>
                <w:szCs w:val="21"/>
              </w:rPr>
            </w:pPr>
            <w:r>
              <w:rPr>
                <w:rFonts w:hint="eastAsia" w:ascii="宋体" w:hAnsi="宋体" w:eastAsia="宋体" w:cs="宋体"/>
                <w:bCs/>
                <w:sz w:val="21"/>
                <w:szCs w:val="21"/>
              </w:rPr>
              <w:t>年度独立设课的实验课程</w:t>
            </w:r>
          </w:p>
        </w:tc>
        <w:tc>
          <w:tcPr>
            <w:tcW w:w="2366" w:type="pct"/>
          </w:tcPr>
          <w:p>
            <w:pPr>
              <w:jc w:val="right"/>
              <w:rPr>
                <w:rFonts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3门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5" w:hRule="atLeast"/>
        </w:trPr>
        <w:tc>
          <w:tcPr>
            <w:tcW w:w="2634" w:type="pct"/>
            <w:vAlign w:val="center"/>
          </w:tcPr>
          <w:p>
            <w:pPr>
              <w:jc w:val="center"/>
              <w:rPr>
                <w:rFonts w:ascii="宋体" w:hAnsi="宋体" w:eastAsia="宋体" w:cs="宋体"/>
                <w:bCs/>
                <w:sz w:val="21"/>
                <w:szCs w:val="21"/>
              </w:rPr>
            </w:pPr>
            <w:r>
              <w:rPr>
                <w:rFonts w:hint="eastAsia" w:ascii="宋体" w:hAnsi="宋体" w:eastAsia="宋体" w:cs="宋体"/>
                <w:bCs/>
                <w:sz w:val="21"/>
                <w:szCs w:val="21"/>
              </w:rPr>
              <w:t>实验教材总数</w:t>
            </w:r>
          </w:p>
        </w:tc>
        <w:tc>
          <w:tcPr>
            <w:tcW w:w="2366" w:type="pct"/>
          </w:tcPr>
          <w:p>
            <w:pPr>
              <w:jc w:val="right"/>
              <w:rPr>
                <w:rFonts w:ascii="宋体" w:hAnsi="宋体" w:eastAsia="宋体" w:cs="宋体"/>
                <w:bCs/>
                <w:sz w:val="21"/>
                <w:szCs w:val="21"/>
              </w:rPr>
            </w:pPr>
            <w:r>
              <w:rPr>
                <w:rFonts w:hint="eastAsia" w:ascii="宋体" w:hAnsi="宋体" w:eastAsia="宋体" w:cs="宋体"/>
                <w:bCs/>
                <w:sz w:val="21"/>
                <w:szCs w:val="21"/>
              </w:rPr>
              <w:t>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5" w:hRule="atLeast"/>
        </w:trPr>
        <w:tc>
          <w:tcPr>
            <w:tcW w:w="2634" w:type="pct"/>
            <w:vAlign w:val="center"/>
          </w:tcPr>
          <w:p>
            <w:pPr>
              <w:jc w:val="center"/>
              <w:rPr>
                <w:rFonts w:ascii="宋体" w:hAnsi="宋体" w:eastAsia="宋体" w:cs="宋体"/>
                <w:bCs/>
                <w:sz w:val="21"/>
                <w:szCs w:val="21"/>
              </w:rPr>
            </w:pPr>
            <w:r>
              <w:rPr>
                <w:rFonts w:hint="eastAsia" w:ascii="宋体" w:hAnsi="宋体" w:eastAsia="宋体" w:cs="宋体"/>
                <w:bCs/>
                <w:sz w:val="21"/>
                <w:szCs w:val="21"/>
              </w:rPr>
              <w:t>年度新增实验教材</w:t>
            </w:r>
          </w:p>
        </w:tc>
        <w:tc>
          <w:tcPr>
            <w:tcW w:w="2366" w:type="pct"/>
          </w:tcPr>
          <w:p>
            <w:pPr>
              <w:jc w:val="right"/>
              <w:rPr>
                <w:rFonts w:ascii="宋体" w:hAnsi="宋体" w:eastAsia="宋体" w:cs="宋体"/>
                <w:bCs/>
                <w:sz w:val="21"/>
                <w:szCs w:val="21"/>
              </w:rPr>
            </w:pPr>
            <w:r>
              <w:rPr>
                <w:rFonts w:hint="eastAsia" w:ascii="宋体" w:hAnsi="宋体" w:eastAsia="宋体" w:cs="宋体"/>
                <w:bCs/>
                <w:sz w:val="21"/>
                <w:szCs w:val="21"/>
              </w:rPr>
              <w:t>种</w:t>
            </w:r>
          </w:p>
        </w:tc>
      </w:tr>
    </w:tbl>
    <w:p>
      <w:pPr>
        <w:spacing w:before="163" w:beforeLines="50" w:after="163" w:afterLines="50"/>
        <w:rPr>
          <w:rFonts w:ascii="黑体" w:hAnsi="黑体" w:eastAsia="黑体"/>
          <w:bCs/>
          <w:sz w:val="28"/>
          <w:szCs w:val="28"/>
        </w:rPr>
      </w:pPr>
      <w:r>
        <w:rPr>
          <w:rFonts w:hint="eastAsia" w:ascii="黑体" w:hAnsi="黑体" w:eastAsia="黑体"/>
          <w:bCs/>
          <w:sz w:val="28"/>
          <w:szCs w:val="28"/>
        </w:rPr>
        <w:t>（三）学生获奖情况</w:t>
      </w:r>
    </w:p>
    <w:tbl>
      <w:tblPr>
        <w:tblStyle w:val="8"/>
        <w:tblW w:w="4897" w:type="pct"/>
        <w:tblInd w:w="8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393"/>
        <w:gridCol w:w="394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6" w:hRule="atLeast"/>
        </w:trPr>
        <w:tc>
          <w:tcPr>
            <w:tcW w:w="2633" w:type="pct"/>
            <w:vAlign w:val="center"/>
          </w:tcPr>
          <w:p>
            <w:pPr>
              <w:jc w:val="center"/>
              <w:rPr>
                <w:rFonts w:ascii="宋体" w:hAnsi="宋体" w:eastAsia="宋体" w:cs="宋体"/>
                <w:bCs/>
                <w:sz w:val="21"/>
                <w:szCs w:val="21"/>
              </w:rPr>
            </w:pPr>
            <w:r>
              <w:rPr>
                <w:rFonts w:hint="eastAsia" w:ascii="宋体" w:hAnsi="宋体" w:eastAsia="宋体" w:cs="宋体"/>
                <w:bCs/>
                <w:sz w:val="21"/>
                <w:szCs w:val="21"/>
              </w:rPr>
              <w:t>学生获奖人数</w:t>
            </w:r>
          </w:p>
        </w:tc>
        <w:tc>
          <w:tcPr>
            <w:tcW w:w="2366" w:type="pct"/>
            <w:vAlign w:val="center"/>
          </w:tcPr>
          <w:p>
            <w:pPr>
              <w:jc w:val="right"/>
              <w:rPr>
                <w:rFonts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15人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2" w:hRule="atLeast"/>
        </w:trPr>
        <w:tc>
          <w:tcPr>
            <w:tcW w:w="2633" w:type="pct"/>
            <w:vAlign w:val="center"/>
          </w:tcPr>
          <w:p>
            <w:pPr>
              <w:jc w:val="center"/>
              <w:rPr>
                <w:rFonts w:ascii="宋体" w:hAnsi="宋体" w:eastAsia="宋体" w:cs="宋体"/>
                <w:bCs/>
                <w:sz w:val="21"/>
                <w:szCs w:val="21"/>
              </w:rPr>
            </w:pPr>
            <w:r>
              <w:rPr>
                <w:rFonts w:hint="eastAsia" w:ascii="宋体" w:hAnsi="宋体" w:eastAsia="宋体" w:cs="宋体"/>
                <w:bCs/>
                <w:sz w:val="21"/>
                <w:szCs w:val="21"/>
              </w:rPr>
              <w:t>学生发表论文数</w:t>
            </w:r>
          </w:p>
        </w:tc>
        <w:tc>
          <w:tcPr>
            <w:tcW w:w="2366" w:type="pct"/>
            <w:vAlign w:val="center"/>
          </w:tcPr>
          <w:p>
            <w:pPr>
              <w:jc w:val="right"/>
              <w:rPr>
                <w:rFonts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4篇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9" w:hRule="atLeast"/>
        </w:trPr>
        <w:tc>
          <w:tcPr>
            <w:tcW w:w="2633" w:type="pct"/>
            <w:vAlign w:val="center"/>
          </w:tcPr>
          <w:p>
            <w:pPr>
              <w:jc w:val="center"/>
              <w:rPr>
                <w:rFonts w:ascii="宋体" w:hAnsi="宋体" w:eastAsia="宋体" w:cs="宋体"/>
                <w:bCs/>
                <w:sz w:val="21"/>
                <w:szCs w:val="21"/>
              </w:rPr>
            </w:pPr>
            <w:r>
              <w:rPr>
                <w:rFonts w:hint="eastAsia" w:ascii="宋体" w:hAnsi="宋体" w:eastAsia="宋体" w:cs="宋体"/>
                <w:bCs/>
                <w:sz w:val="21"/>
                <w:szCs w:val="21"/>
              </w:rPr>
              <w:t>学生获得专利数</w:t>
            </w:r>
          </w:p>
        </w:tc>
        <w:tc>
          <w:tcPr>
            <w:tcW w:w="2366" w:type="pct"/>
            <w:vAlign w:val="center"/>
          </w:tcPr>
          <w:p>
            <w:pPr>
              <w:jc w:val="right"/>
              <w:rPr>
                <w:rFonts w:ascii="宋体" w:hAnsi="宋体" w:eastAsia="宋体" w:cs="宋体"/>
                <w:bCs/>
                <w:sz w:val="21"/>
                <w:szCs w:val="21"/>
              </w:rPr>
            </w:pPr>
            <w:r>
              <w:rPr>
                <w:rFonts w:hint="eastAsia" w:ascii="宋体" w:hAnsi="宋体" w:eastAsia="宋体" w:cs="宋体"/>
                <w:bCs/>
                <w:sz w:val="21"/>
                <w:szCs w:val="21"/>
              </w:rPr>
              <w:t>0项</w:t>
            </w:r>
          </w:p>
        </w:tc>
      </w:tr>
    </w:tbl>
    <w:p>
      <w:pPr>
        <w:spacing w:before="163" w:beforeLines="50"/>
        <w:ind w:firstLine="630" w:firstLineChars="196"/>
        <w:rPr>
          <w:rFonts w:ascii="黑体" w:hAnsi="黑体" w:eastAsia="黑体"/>
          <w:b/>
          <w:bCs/>
          <w:sz w:val="32"/>
          <w:szCs w:val="32"/>
        </w:rPr>
      </w:pPr>
    </w:p>
    <w:p>
      <w:pPr>
        <w:spacing w:before="163" w:beforeLines="50"/>
        <w:rPr>
          <w:rFonts w:ascii="黑体" w:hAnsi="黑体" w:eastAsia="黑体"/>
          <w:b/>
          <w:bCs/>
          <w:sz w:val="32"/>
          <w:szCs w:val="32"/>
        </w:rPr>
      </w:pPr>
      <w:r>
        <w:rPr>
          <w:rFonts w:hint="eastAsia" w:ascii="黑体" w:hAnsi="黑体" w:eastAsia="黑体"/>
          <w:b/>
          <w:bCs/>
          <w:sz w:val="32"/>
          <w:szCs w:val="32"/>
        </w:rPr>
        <w:t>四、教学改革与科学研究情况</w:t>
      </w:r>
    </w:p>
    <w:p>
      <w:pPr>
        <w:spacing w:before="163" w:beforeLines="50" w:after="163" w:afterLines="50"/>
        <w:rPr>
          <w:rFonts w:ascii="黑体" w:hAnsi="黑体" w:eastAsia="黑体"/>
          <w:bCs/>
          <w:sz w:val="28"/>
          <w:szCs w:val="28"/>
        </w:rPr>
      </w:pPr>
      <w:r>
        <w:rPr>
          <w:rFonts w:hint="eastAsia" w:ascii="黑体" w:hAnsi="黑体" w:eastAsia="黑体"/>
          <w:bCs/>
          <w:sz w:val="28"/>
          <w:szCs w:val="28"/>
        </w:rPr>
        <w:t>（一）</w:t>
      </w:r>
      <w:r>
        <w:rPr>
          <w:rFonts w:hint="eastAsia" w:ascii="黑体" w:hAnsi="黑体" w:eastAsia="黑体" w:cs="仿宋_GB2312"/>
          <w:bCs/>
          <w:sz w:val="28"/>
          <w:szCs w:val="28"/>
        </w:rPr>
        <w:t>承担教学改革任务及经费</w:t>
      </w:r>
    </w:p>
    <w:tbl>
      <w:tblPr>
        <w:tblStyle w:val="7"/>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39"/>
        <w:gridCol w:w="1977"/>
        <w:gridCol w:w="1418"/>
        <w:gridCol w:w="952"/>
        <w:gridCol w:w="1275"/>
        <w:gridCol w:w="1134"/>
        <w:gridCol w:w="708"/>
        <w:gridCol w:w="6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57"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161"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项目/</w:t>
            </w:r>
          </w:p>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课题名称</w:t>
            </w:r>
          </w:p>
        </w:tc>
        <w:tc>
          <w:tcPr>
            <w:tcW w:w="833"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文号</w:t>
            </w:r>
          </w:p>
        </w:tc>
        <w:tc>
          <w:tcPr>
            <w:tcW w:w="559"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负责人</w:t>
            </w:r>
          </w:p>
        </w:tc>
        <w:tc>
          <w:tcPr>
            <w:tcW w:w="749"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参加人员</w:t>
            </w:r>
          </w:p>
        </w:tc>
        <w:tc>
          <w:tcPr>
            <w:tcW w:w="666"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起止时间</w:t>
            </w:r>
          </w:p>
        </w:tc>
        <w:tc>
          <w:tcPr>
            <w:tcW w:w="416"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经费（万元）</w:t>
            </w:r>
          </w:p>
        </w:tc>
        <w:tc>
          <w:tcPr>
            <w:tcW w:w="358"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25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w:t>
            </w:r>
          </w:p>
        </w:tc>
        <w:tc>
          <w:tcPr>
            <w:tcW w:w="116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国家级一流课程/</w:t>
            </w:r>
            <w:r>
              <w:rPr>
                <w:rFonts w:hint="eastAsia" w:ascii="宋体" w:hAnsi="宋体" w:eastAsia="宋体" w:cs="宋体"/>
                <w:sz w:val="21"/>
                <w:szCs w:val="21"/>
                <w:lang w:eastAsia="zh-Hans"/>
              </w:rPr>
              <w:t>凹版画（</w:t>
            </w:r>
            <w:r>
              <w:rPr>
                <w:rFonts w:hint="eastAsia" w:ascii="宋体" w:hAnsi="宋体" w:eastAsia="宋体" w:cs="宋体"/>
                <w:sz w:val="21"/>
                <w:szCs w:val="21"/>
              </w:rPr>
              <w:t>铜版画）技法应用</w:t>
            </w:r>
          </w:p>
        </w:tc>
        <w:tc>
          <w:tcPr>
            <w:tcW w:w="83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教高函〔2020〕8号</w:t>
            </w:r>
          </w:p>
        </w:tc>
        <w:tc>
          <w:tcPr>
            <w:tcW w:w="55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范敏</w:t>
            </w:r>
          </w:p>
        </w:tc>
        <w:tc>
          <w:tcPr>
            <w:tcW w:w="74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张莞、石磊、周路、王木木</w:t>
            </w:r>
          </w:p>
        </w:tc>
        <w:tc>
          <w:tcPr>
            <w:tcW w:w="666" w:type="pct"/>
            <w:vAlign w:val="center"/>
          </w:tcPr>
          <w:p>
            <w:pPr>
              <w:jc w:val="center"/>
              <w:rPr>
                <w:rFonts w:ascii="宋体" w:hAnsi="宋体" w:eastAsia="宋体" w:cs="宋体"/>
                <w:sz w:val="21"/>
                <w:szCs w:val="21"/>
              </w:rPr>
            </w:pPr>
            <w:r>
              <w:rPr>
                <w:rFonts w:hint="eastAsia" w:ascii="宋体" w:hAnsi="宋体" w:eastAsia="宋体" w:cs="宋体"/>
                <w:bCs/>
                <w:sz w:val="21"/>
                <w:szCs w:val="21"/>
              </w:rPr>
              <w:t>2020.11.25</w:t>
            </w:r>
            <w:r>
              <w:rPr>
                <w:rFonts w:hint="eastAsia" w:ascii="宋体" w:hAnsi="宋体" w:eastAsia="宋体" w:cs="宋体"/>
                <w:sz w:val="21"/>
                <w:szCs w:val="21"/>
              </w:rPr>
              <w:t>-2022.11.26</w:t>
            </w:r>
          </w:p>
        </w:tc>
        <w:tc>
          <w:tcPr>
            <w:tcW w:w="4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w:t>
            </w:r>
          </w:p>
        </w:tc>
        <w:tc>
          <w:tcPr>
            <w:tcW w:w="35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25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w:t>
            </w:r>
          </w:p>
        </w:tc>
        <w:tc>
          <w:tcPr>
            <w:tcW w:w="116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“双碳”目标下侨资企业融资、经营及其发展研究</w:t>
            </w:r>
          </w:p>
        </w:tc>
        <w:tc>
          <w:tcPr>
            <w:tcW w:w="83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22BZQK234</w:t>
            </w:r>
          </w:p>
        </w:tc>
        <w:tc>
          <w:tcPr>
            <w:tcW w:w="55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金华</w:t>
            </w:r>
          </w:p>
        </w:tc>
        <w:tc>
          <w:tcPr>
            <w:tcW w:w="749" w:type="pct"/>
            <w:vAlign w:val="center"/>
          </w:tcPr>
          <w:p>
            <w:pPr>
              <w:adjustRightInd w:val="0"/>
              <w:snapToGrid w:val="0"/>
              <w:jc w:val="center"/>
              <w:rPr>
                <w:rFonts w:ascii="宋体" w:hAnsi="宋体" w:eastAsia="宋体" w:cs="宋体"/>
                <w:sz w:val="21"/>
                <w:szCs w:val="21"/>
              </w:rPr>
            </w:pPr>
          </w:p>
        </w:tc>
        <w:tc>
          <w:tcPr>
            <w:tcW w:w="66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2022.08.25- 2024.10.31</w:t>
            </w:r>
          </w:p>
        </w:tc>
        <w:tc>
          <w:tcPr>
            <w:tcW w:w="4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w:t>
            </w:r>
          </w:p>
        </w:tc>
        <w:tc>
          <w:tcPr>
            <w:tcW w:w="35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25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w:t>
            </w:r>
          </w:p>
        </w:tc>
        <w:tc>
          <w:tcPr>
            <w:tcW w:w="116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百年变局下华侨华人对中国品牌和国家形象的传播与塑造研究</w:t>
            </w:r>
          </w:p>
        </w:tc>
        <w:tc>
          <w:tcPr>
            <w:tcW w:w="83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22BZQK201</w:t>
            </w:r>
          </w:p>
        </w:tc>
        <w:tc>
          <w:tcPr>
            <w:tcW w:w="55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马琳</w:t>
            </w:r>
          </w:p>
        </w:tc>
        <w:tc>
          <w:tcPr>
            <w:tcW w:w="749" w:type="pct"/>
            <w:vAlign w:val="center"/>
          </w:tcPr>
          <w:p>
            <w:pPr>
              <w:adjustRightInd w:val="0"/>
              <w:snapToGrid w:val="0"/>
              <w:jc w:val="center"/>
              <w:rPr>
                <w:rFonts w:ascii="宋体" w:hAnsi="宋体" w:eastAsia="宋体" w:cs="宋体"/>
                <w:sz w:val="21"/>
                <w:szCs w:val="21"/>
              </w:rPr>
            </w:pPr>
          </w:p>
        </w:tc>
        <w:tc>
          <w:tcPr>
            <w:tcW w:w="66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2022.08.25- 2024.10.31</w:t>
            </w:r>
          </w:p>
        </w:tc>
        <w:tc>
          <w:tcPr>
            <w:tcW w:w="4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w:t>
            </w:r>
          </w:p>
        </w:tc>
        <w:tc>
          <w:tcPr>
            <w:tcW w:w="35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25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w:t>
            </w:r>
          </w:p>
        </w:tc>
        <w:tc>
          <w:tcPr>
            <w:tcW w:w="116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零售平台的销售运营模式和信息共享策略研究</w:t>
            </w:r>
          </w:p>
        </w:tc>
        <w:tc>
          <w:tcPr>
            <w:tcW w:w="83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72272016</w:t>
            </w:r>
          </w:p>
        </w:tc>
        <w:tc>
          <w:tcPr>
            <w:tcW w:w="55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李雪</w:t>
            </w:r>
          </w:p>
        </w:tc>
        <w:tc>
          <w:tcPr>
            <w:tcW w:w="749" w:type="pct"/>
            <w:vAlign w:val="center"/>
          </w:tcPr>
          <w:p>
            <w:pPr>
              <w:adjustRightInd w:val="0"/>
              <w:snapToGrid w:val="0"/>
              <w:jc w:val="center"/>
              <w:rPr>
                <w:rFonts w:ascii="宋体" w:hAnsi="宋体" w:eastAsia="宋体" w:cs="宋体"/>
                <w:sz w:val="21"/>
                <w:szCs w:val="21"/>
              </w:rPr>
            </w:pPr>
          </w:p>
        </w:tc>
        <w:tc>
          <w:tcPr>
            <w:tcW w:w="66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2022.9.7-2026.12.31</w:t>
            </w:r>
          </w:p>
        </w:tc>
        <w:tc>
          <w:tcPr>
            <w:tcW w:w="4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45</w:t>
            </w:r>
          </w:p>
        </w:tc>
        <w:tc>
          <w:tcPr>
            <w:tcW w:w="35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25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5</w:t>
            </w:r>
          </w:p>
        </w:tc>
        <w:tc>
          <w:tcPr>
            <w:tcW w:w="116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语言时间编码与资本市场效率：影响、机制及后果</w:t>
            </w:r>
          </w:p>
        </w:tc>
        <w:tc>
          <w:tcPr>
            <w:tcW w:w="83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72202018</w:t>
            </w:r>
          </w:p>
        </w:tc>
        <w:tc>
          <w:tcPr>
            <w:tcW w:w="55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夏晓雪</w:t>
            </w:r>
          </w:p>
        </w:tc>
        <w:tc>
          <w:tcPr>
            <w:tcW w:w="749" w:type="pct"/>
            <w:vAlign w:val="center"/>
          </w:tcPr>
          <w:p>
            <w:pPr>
              <w:adjustRightInd w:val="0"/>
              <w:snapToGrid w:val="0"/>
              <w:jc w:val="center"/>
              <w:rPr>
                <w:rFonts w:ascii="宋体" w:hAnsi="宋体" w:eastAsia="宋体" w:cs="宋体"/>
                <w:sz w:val="21"/>
                <w:szCs w:val="21"/>
              </w:rPr>
            </w:pPr>
          </w:p>
        </w:tc>
        <w:tc>
          <w:tcPr>
            <w:tcW w:w="66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2022.9.2025.12.31</w:t>
            </w:r>
          </w:p>
        </w:tc>
        <w:tc>
          <w:tcPr>
            <w:tcW w:w="4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30</w:t>
            </w:r>
          </w:p>
        </w:tc>
        <w:tc>
          <w:tcPr>
            <w:tcW w:w="35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25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6</w:t>
            </w:r>
          </w:p>
        </w:tc>
        <w:tc>
          <w:tcPr>
            <w:tcW w:w="116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b/>
            </w:r>
            <w:r>
              <w:rPr>
                <w:rFonts w:hint="eastAsia" w:ascii="宋体" w:hAnsi="宋体" w:eastAsia="宋体" w:cs="宋体"/>
                <w:sz w:val="21"/>
                <w:szCs w:val="21"/>
              </w:rPr>
              <w:t>“身边好人”网上推评工作指标体系专题研究</w:t>
            </w:r>
          </w:p>
        </w:tc>
        <w:tc>
          <w:tcPr>
            <w:tcW w:w="83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22@ZH020</w:t>
            </w:r>
          </w:p>
        </w:tc>
        <w:tc>
          <w:tcPr>
            <w:tcW w:w="55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牛华勇</w:t>
            </w:r>
          </w:p>
        </w:tc>
        <w:tc>
          <w:tcPr>
            <w:tcW w:w="749" w:type="pct"/>
            <w:vAlign w:val="center"/>
          </w:tcPr>
          <w:p>
            <w:pPr>
              <w:adjustRightInd w:val="0"/>
              <w:snapToGrid w:val="0"/>
              <w:jc w:val="center"/>
              <w:rPr>
                <w:rFonts w:ascii="宋体" w:hAnsi="宋体" w:eastAsia="宋体" w:cs="宋体"/>
                <w:sz w:val="21"/>
                <w:szCs w:val="21"/>
              </w:rPr>
            </w:pPr>
          </w:p>
        </w:tc>
        <w:tc>
          <w:tcPr>
            <w:tcW w:w="66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2022.9.12-2023.9.12</w:t>
            </w:r>
          </w:p>
        </w:tc>
        <w:tc>
          <w:tcPr>
            <w:tcW w:w="4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10</w:t>
            </w:r>
          </w:p>
        </w:tc>
        <w:tc>
          <w:tcPr>
            <w:tcW w:w="35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25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7</w:t>
            </w:r>
          </w:p>
        </w:tc>
        <w:tc>
          <w:tcPr>
            <w:tcW w:w="116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基于智能化方法的在线医疗精准服务机理与策略研究</w:t>
            </w:r>
          </w:p>
        </w:tc>
        <w:tc>
          <w:tcPr>
            <w:tcW w:w="83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22YJA630018</w:t>
            </w:r>
          </w:p>
        </w:tc>
        <w:tc>
          <w:tcPr>
            <w:tcW w:w="55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范静</w:t>
            </w:r>
          </w:p>
        </w:tc>
        <w:tc>
          <w:tcPr>
            <w:tcW w:w="749" w:type="pct"/>
            <w:vAlign w:val="center"/>
          </w:tcPr>
          <w:p>
            <w:pPr>
              <w:adjustRightInd w:val="0"/>
              <w:snapToGrid w:val="0"/>
              <w:jc w:val="center"/>
              <w:rPr>
                <w:rFonts w:ascii="宋体" w:hAnsi="宋体" w:eastAsia="宋体" w:cs="宋体"/>
                <w:sz w:val="21"/>
                <w:szCs w:val="21"/>
              </w:rPr>
            </w:pPr>
          </w:p>
        </w:tc>
        <w:tc>
          <w:tcPr>
            <w:tcW w:w="66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2022.9.22-2025.12.1</w:t>
            </w:r>
          </w:p>
        </w:tc>
        <w:tc>
          <w:tcPr>
            <w:tcW w:w="4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10</w:t>
            </w:r>
          </w:p>
        </w:tc>
        <w:tc>
          <w:tcPr>
            <w:tcW w:w="35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25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8</w:t>
            </w:r>
          </w:p>
        </w:tc>
        <w:tc>
          <w:tcPr>
            <w:tcW w:w="116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数字化转型对京津冀企业ESG的影响及路径研究</w:t>
            </w:r>
          </w:p>
        </w:tc>
        <w:tc>
          <w:tcPr>
            <w:tcW w:w="83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22GLC057</w:t>
            </w:r>
          </w:p>
        </w:tc>
        <w:tc>
          <w:tcPr>
            <w:tcW w:w="55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徐国铨</w:t>
            </w:r>
          </w:p>
        </w:tc>
        <w:tc>
          <w:tcPr>
            <w:tcW w:w="749" w:type="pct"/>
            <w:vAlign w:val="center"/>
          </w:tcPr>
          <w:p>
            <w:pPr>
              <w:adjustRightInd w:val="0"/>
              <w:snapToGrid w:val="0"/>
              <w:jc w:val="center"/>
              <w:rPr>
                <w:rFonts w:ascii="宋体" w:hAnsi="宋体" w:eastAsia="宋体" w:cs="宋体"/>
                <w:sz w:val="21"/>
                <w:szCs w:val="21"/>
              </w:rPr>
            </w:pPr>
          </w:p>
        </w:tc>
        <w:tc>
          <w:tcPr>
            <w:tcW w:w="66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2022.11.12-2025.12.31</w:t>
            </w:r>
          </w:p>
        </w:tc>
        <w:tc>
          <w:tcPr>
            <w:tcW w:w="4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8</w:t>
            </w:r>
          </w:p>
        </w:tc>
        <w:tc>
          <w:tcPr>
            <w:tcW w:w="35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25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9</w:t>
            </w:r>
          </w:p>
        </w:tc>
        <w:tc>
          <w:tcPr>
            <w:tcW w:w="116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新发展格局下基于国家和城市形象的北京企业品牌国际营销传播策略研究</w:t>
            </w:r>
          </w:p>
        </w:tc>
        <w:tc>
          <w:tcPr>
            <w:tcW w:w="83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22GLB016</w:t>
            </w:r>
          </w:p>
        </w:tc>
        <w:tc>
          <w:tcPr>
            <w:tcW w:w="559"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马琳</w:t>
            </w:r>
          </w:p>
        </w:tc>
        <w:tc>
          <w:tcPr>
            <w:tcW w:w="749" w:type="pct"/>
            <w:vAlign w:val="center"/>
          </w:tcPr>
          <w:p>
            <w:pPr>
              <w:adjustRightInd w:val="0"/>
              <w:snapToGrid w:val="0"/>
              <w:jc w:val="center"/>
              <w:rPr>
                <w:rFonts w:ascii="宋体" w:hAnsi="宋体" w:eastAsia="宋体" w:cs="宋体"/>
                <w:sz w:val="21"/>
                <w:szCs w:val="21"/>
              </w:rPr>
            </w:pPr>
          </w:p>
        </w:tc>
        <w:tc>
          <w:tcPr>
            <w:tcW w:w="66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2022.11.12-2025.12.31</w:t>
            </w:r>
          </w:p>
        </w:tc>
        <w:tc>
          <w:tcPr>
            <w:tcW w:w="4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8</w:t>
            </w:r>
          </w:p>
        </w:tc>
        <w:tc>
          <w:tcPr>
            <w:tcW w:w="35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w:t>
            </w:r>
          </w:p>
        </w:tc>
      </w:tr>
    </w:tbl>
    <w:p>
      <w:pPr>
        <w:spacing w:before="163" w:beforeLines="50" w:after="163" w:afterLines="50"/>
        <w:rPr>
          <w:rFonts w:ascii="黑体" w:hAnsi="黑体" w:eastAsia="黑体" w:cs="仿宋_GB2312"/>
          <w:bCs/>
          <w:sz w:val="28"/>
          <w:szCs w:val="28"/>
        </w:rPr>
      </w:pPr>
      <w:r>
        <w:rPr>
          <w:rFonts w:hint="eastAsia" w:ascii="黑体" w:hAnsi="黑体" w:eastAsia="黑体" w:cs="宋体"/>
          <w:sz w:val="28"/>
          <w:szCs w:val="28"/>
        </w:rPr>
        <w:t>（二）</w:t>
      </w:r>
      <w:r>
        <w:rPr>
          <w:rFonts w:hint="eastAsia" w:ascii="黑体" w:hAnsi="黑体" w:eastAsia="黑体" w:cs="仿宋_GB2312"/>
          <w:bCs/>
          <w:sz w:val="28"/>
          <w:szCs w:val="28"/>
        </w:rPr>
        <w:t>研究成果</w:t>
      </w:r>
    </w:p>
    <w:p>
      <w:pPr>
        <w:spacing w:before="163" w:beforeLines="50" w:after="163" w:afterLines="50"/>
        <w:ind w:firstLine="480" w:firstLineChars="200"/>
        <w:rPr>
          <w:rFonts w:ascii="黑体" w:hAnsi="黑体" w:eastAsia="黑体"/>
        </w:rPr>
      </w:pPr>
      <w:r>
        <w:rPr>
          <w:rFonts w:hint="eastAsia" w:ascii="黑体" w:hAnsi="黑体" w:eastAsia="黑体" w:cs="仿宋_GB2312"/>
        </w:rPr>
        <w:t>1.专利情况</w:t>
      </w:r>
    </w:p>
    <w:tbl>
      <w:tblPr>
        <w:tblStyle w:val="7"/>
        <w:tblW w:w="4873" w:type="pct"/>
        <w:tblInd w:w="11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57"/>
        <w:gridCol w:w="1475"/>
        <w:gridCol w:w="1776"/>
        <w:gridCol w:w="1477"/>
        <w:gridCol w:w="1173"/>
        <w:gridCol w:w="870"/>
        <w:gridCol w:w="77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29" w:hRule="atLeast"/>
        </w:trPr>
        <w:tc>
          <w:tcPr>
            <w:tcW w:w="456" w:type="pct"/>
            <w:vAlign w:val="center"/>
          </w:tcPr>
          <w:p>
            <w:pPr>
              <w:adjustRightInd w:val="0"/>
              <w:snapToGrid w:val="0"/>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序号</w:t>
            </w:r>
          </w:p>
        </w:tc>
        <w:tc>
          <w:tcPr>
            <w:tcW w:w="888" w:type="pct"/>
            <w:vAlign w:val="center"/>
          </w:tcPr>
          <w:p>
            <w:pPr>
              <w:adjustRightInd w:val="0"/>
              <w:snapToGrid w:val="0"/>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专利名称</w:t>
            </w:r>
          </w:p>
        </w:tc>
        <w:tc>
          <w:tcPr>
            <w:tcW w:w="1069" w:type="pct"/>
            <w:vAlign w:val="center"/>
          </w:tcPr>
          <w:p>
            <w:pPr>
              <w:adjustRightInd w:val="0"/>
              <w:snapToGrid w:val="0"/>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专利授权号</w:t>
            </w:r>
          </w:p>
        </w:tc>
        <w:tc>
          <w:tcPr>
            <w:tcW w:w="889" w:type="pct"/>
            <w:vAlign w:val="center"/>
          </w:tcPr>
          <w:p>
            <w:pPr>
              <w:adjustRightInd w:val="0"/>
              <w:snapToGrid w:val="0"/>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获准国别</w:t>
            </w:r>
          </w:p>
        </w:tc>
        <w:tc>
          <w:tcPr>
            <w:tcW w:w="706" w:type="pct"/>
            <w:vAlign w:val="center"/>
          </w:tcPr>
          <w:p>
            <w:pPr>
              <w:adjustRightInd w:val="0"/>
              <w:snapToGrid w:val="0"/>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完成人</w:t>
            </w:r>
          </w:p>
        </w:tc>
        <w:tc>
          <w:tcPr>
            <w:tcW w:w="524" w:type="pct"/>
            <w:vAlign w:val="center"/>
          </w:tcPr>
          <w:p>
            <w:pPr>
              <w:adjustRightInd w:val="0"/>
              <w:snapToGrid w:val="0"/>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类型</w:t>
            </w:r>
          </w:p>
        </w:tc>
        <w:tc>
          <w:tcPr>
            <w:tcW w:w="465" w:type="pct"/>
            <w:vAlign w:val="center"/>
          </w:tcPr>
          <w:p>
            <w:pPr>
              <w:adjustRightInd w:val="0"/>
              <w:snapToGrid w:val="0"/>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9" w:hRule="atLeast"/>
        </w:trPr>
        <w:tc>
          <w:tcPr>
            <w:tcW w:w="456" w:type="pct"/>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1</w:t>
            </w:r>
          </w:p>
        </w:tc>
        <w:tc>
          <w:tcPr>
            <w:tcW w:w="888" w:type="pct"/>
          </w:tcPr>
          <w:p>
            <w:pPr>
              <w:adjustRightInd w:val="0"/>
              <w:snapToGrid w:val="0"/>
              <w:jc w:val="center"/>
              <w:rPr>
                <w:rFonts w:asciiTheme="minorEastAsia" w:hAnsiTheme="minorEastAsia" w:cstheme="minorEastAsia"/>
                <w:sz w:val="21"/>
                <w:szCs w:val="21"/>
              </w:rPr>
            </w:pPr>
          </w:p>
        </w:tc>
        <w:tc>
          <w:tcPr>
            <w:tcW w:w="1069" w:type="pct"/>
          </w:tcPr>
          <w:p>
            <w:pPr>
              <w:adjustRightInd w:val="0"/>
              <w:snapToGrid w:val="0"/>
              <w:jc w:val="center"/>
              <w:rPr>
                <w:rFonts w:asciiTheme="minorEastAsia" w:hAnsiTheme="minorEastAsia" w:cstheme="minorEastAsia"/>
                <w:sz w:val="21"/>
                <w:szCs w:val="21"/>
              </w:rPr>
            </w:pPr>
          </w:p>
        </w:tc>
        <w:tc>
          <w:tcPr>
            <w:tcW w:w="889" w:type="pct"/>
          </w:tcPr>
          <w:p>
            <w:pPr>
              <w:adjustRightInd w:val="0"/>
              <w:snapToGrid w:val="0"/>
              <w:jc w:val="center"/>
              <w:rPr>
                <w:rFonts w:asciiTheme="minorEastAsia" w:hAnsiTheme="minorEastAsia" w:cstheme="minorEastAsia"/>
                <w:sz w:val="21"/>
                <w:szCs w:val="21"/>
              </w:rPr>
            </w:pPr>
          </w:p>
        </w:tc>
        <w:tc>
          <w:tcPr>
            <w:tcW w:w="706" w:type="pct"/>
          </w:tcPr>
          <w:p>
            <w:pPr>
              <w:adjustRightInd w:val="0"/>
              <w:snapToGrid w:val="0"/>
              <w:jc w:val="center"/>
              <w:rPr>
                <w:rFonts w:asciiTheme="minorEastAsia" w:hAnsiTheme="minorEastAsia" w:cstheme="minorEastAsia"/>
                <w:sz w:val="21"/>
                <w:szCs w:val="21"/>
              </w:rPr>
            </w:pPr>
          </w:p>
        </w:tc>
        <w:tc>
          <w:tcPr>
            <w:tcW w:w="524" w:type="pct"/>
          </w:tcPr>
          <w:p>
            <w:pPr>
              <w:adjustRightInd w:val="0"/>
              <w:snapToGrid w:val="0"/>
              <w:jc w:val="center"/>
              <w:rPr>
                <w:rFonts w:asciiTheme="minorEastAsia" w:hAnsiTheme="minorEastAsia" w:cstheme="minorEastAsia"/>
                <w:sz w:val="21"/>
                <w:szCs w:val="21"/>
              </w:rPr>
            </w:pPr>
          </w:p>
        </w:tc>
        <w:tc>
          <w:tcPr>
            <w:tcW w:w="465" w:type="pct"/>
          </w:tcPr>
          <w:p>
            <w:pPr>
              <w:adjustRightInd w:val="0"/>
              <w:snapToGrid w:val="0"/>
              <w:jc w:val="center"/>
              <w:rPr>
                <w:rFonts w:asciiTheme="minorEastAsia" w:hAnsiTheme="minorEastAsia" w:cstheme="minorEastAsia"/>
                <w:sz w:val="21"/>
                <w:szCs w:val="21"/>
              </w:rPr>
            </w:pPr>
          </w:p>
        </w:tc>
      </w:tr>
    </w:tbl>
    <w:p>
      <w:pPr>
        <w:spacing w:before="163" w:beforeLines="50"/>
        <w:ind w:firstLine="480" w:firstLineChars="200"/>
        <w:outlineLvl w:val="0"/>
        <w:rPr>
          <w:rFonts w:ascii="黑体" w:hAnsi="黑体" w:eastAsia="黑体" w:cs="仿宋_GB2312"/>
        </w:rPr>
      </w:pPr>
    </w:p>
    <w:p>
      <w:pPr>
        <w:spacing w:before="163" w:beforeLines="50"/>
        <w:ind w:firstLine="480" w:firstLineChars="200"/>
        <w:outlineLvl w:val="0"/>
        <w:rPr>
          <w:rFonts w:ascii="黑体" w:hAnsi="黑体" w:eastAsia="黑体" w:cs="仿宋_GB2312"/>
        </w:rPr>
      </w:pPr>
      <w:r>
        <w:rPr>
          <w:rFonts w:hint="eastAsia" w:ascii="黑体" w:hAnsi="黑体" w:eastAsia="黑体" w:cs="仿宋_GB2312"/>
        </w:rPr>
        <w:t>2.发表论文、专著情况</w:t>
      </w:r>
    </w:p>
    <w:tbl>
      <w:tblPr>
        <w:tblStyle w:val="7"/>
        <w:tblW w:w="4878" w:type="pct"/>
        <w:tblInd w:w="10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70"/>
        <w:gridCol w:w="2172"/>
        <w:gridCol w:w="1372"/>
        <w:gridCol w:w="1276"/>
        <w:gridCol w:w="1301"/>
        <w:gridCol w:w="899"/>
        <w:gridCol w:w="7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43"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307"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论文或</w:t>
            </w:r>
          </w:p>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专著名称</w:t>
            </w:r>
          </w:p>
        </w:tc>
        <w:tc>
          <w:tcPr>
            <w:tcW w:w="826"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作者</w:t>
            </w:r>
          </w:p>
        </w:tc>
        <w:tc>
          <w:tcPr>
            <w:tcW w:w="768"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刊物、出版社名称</w:t>
            </w:r>
          </w:p>
        </w:tc>
        <w:tc>
          <w:tcPr>
            <w:tcW w:w="783"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卷、期</w:t>
            </w:r>
          </w:p>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（或章节）、页</w:t>
            </w:r>
          </w:p>
        </w:tc>
        <w:tc>
          <w:tcPr>
            <w:tcW w:w="541"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类型</w:t>
            </w:r>
          </w:p>
        </w:tc>
        <w:tc>
          <w:tcPr>
            <w:tcW w:w="432" w:type="pct"/>
            <w:vAlign w:val="center"/>
          </w:tcPr>
          <w:p>
            <w:pPr>
              <w:tabs>
                <w:tab w:val="left" w:pos="492"/>
              </w:tabs>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中国对外直接投资与非洲东道国出口贸易结构升级</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连增;孙艺华（学）</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北京社会科学</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财政压力、企业税费负担与全要素生产率</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余靖雯;郭凯明（外）;麦东仁（外）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经济学动态</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“国家队”持股能促进企业绿色创新吗——重污染行业的异质性分析</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乔菲（外）;文雯;冯晓晴（外）</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科技进步与对策</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39（22）92-102</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企业ESG表现对其融资成本的影响</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陈若鸿;赵雪延（学）;金华</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科学决策</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5</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“监督效应”VS“掏空效应”:高管纵向兼任与审计决策</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宋衍蘅;毕煜晗（外）;文雯</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中央财经大学学报</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6</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Evaluating Asset Pricing Models: A Revised Factor Model for China</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李志勇;张子健（外）;张福栋（外）;张晓燕（外）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Economic Modelling</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116</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7</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 Novel Customer-Oriented Recommendation System for Paid Knowledge Products</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Ting Yang（外）;张继龙;Liye Wang</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JOURNAL OF SYSTEMS SCIENCE AND SYSTEMS ENGINEERING</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311（5）515-533</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8</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Evaluation and Prediction of Low-Carbon Economic Efficiency in China, Japan and South Korea: Based on DEA and Machine Learning</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牛华勇;张志硕（学）;罗曼婷（学</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Interner Journal of Environmental Research and Public Health</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19（19）</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9</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Multi-stream (Q, r) model and optimization for data prefetching</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朱晓燕（外）;王军;Qi Yuan（外）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European Journal of Operational Research</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302（1）130-143</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10</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International City Image of Beijing: A Quantitative Analysis Based on Twitter Texts from 2017–2021</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张志硕（学）;罗曼婷（学）; Ziyu Luo（外）；牛华勇</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Sustainability</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14（17）</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四作/通讯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11</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An Alternative Globalization Barometer for Investigating the Trend of Globalization</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孙莎;徐海跃（学）;何岷松（外）;肖瑶（学）;牛华勇</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Applied Sciences-Basel</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w:t>
            </w:r>
          </w:p>
        </w:tc>
        <w:tc>
          <w:tcPr>
            <w:tcW w:w="432" w:type="pct"/>
            <w:vAlign w:val="center"/>
          </w:tcPr>
          <w:p>
            <w:pPr>
              <w:adjustRightInd w:val="0"/>
              <w:snapToGrid w:val="0"/>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12</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Impact of Information and Communication Technologies (ICTs) on Health Outcomes: A Mediating Effect Analysis Based on Cross-National Panel Data</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邵明星;范静;黄紫珊（学）;陈名扬（学）</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Journal of Environmental and Public Health</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SCI,SSCI</w:t>
            </w:r>
          </w:p>
        </w:tc>
        <w:tc>
          <w:tcPr>
            <w:tcW w:w="432" w:type="pct"/>
            <w:vAlign w:val="center"/>
          </w:tcPr>
          <w:p>
            <w:pPr>
              <w:adjustRightInd w:val="0"/>
              <w:snapToGrid w:val="0"/>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13</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Climate change adaptation and upland rice yield: evidence from a farm survey in Yunnan, China</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Huaiyu Wang（外）;Xi Hu（外）;Shuangquan Yang（外）;徐国铨</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China Agricultural Economic Review</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14（4）799-815</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四作/通讯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14</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明星分析师评选暂停对分析师预测行为的影响——基于《新财富》事件的经验证据</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李馨子（外）;张腾（外）;牛煜皓</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南开经济研究</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三作/通讯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15</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数字化转型对企业绿色创新的影响——基于中国制造业上市公司的经验证据</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靳毓（外）;文雯;何茵（外）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财贸研究</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33（7）69-83</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16</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柔性税收征管对企业投资效率的影响研究——基于纳税信用评级披露的经验证据</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靳毓（外）;文雯;冯晓晴（外）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江苏社会科学</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（4）163-174</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17</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Optimal Industrial Carbon Tax for China Under Carbon Intensity Constraints: A Dynamic Input-Output Optimization Model</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马宁;殷广卫（外）;李华姣（外）;孙文莉;王泽（外）;刘刚;谢丹（外）</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Environmental Science and Pollution Research</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29（35）53191–53211</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四作/通讯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18</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Textual Emotional Tone and Financial Crisis Identification in Chinese Companies: A Multi‐Source Data Analysis Based on Machine Learning</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张志硕（学）;罗曼婷（学）;Zhaoting Hu（学）;牛华勇</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Applied Sciences</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13（12）</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四作/通讯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19</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 Study on Early Warnings of Financial Crisis of Chinese Listed Companies Based on DEA-SVM Model</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张志硕（学）;肖瑶（学）;Zitian Fu（外）；Kaiyang Zhong（外）；牛华勇</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Mathematics</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12（10）</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五作/通讯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role of aggregate risk aversion in the pricing of economic uncertainty</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任康钰;Tianyu Qin（外）;穆远东</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Applied Economics Letters</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21</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区域国别学的知识体系与学科建构</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秦亚青（外）;孙吉胜（外）;杨丹;王展鹏</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国际论坛</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三作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22</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最大化收益还是最小化损失？CEO调节焦点的影响因素——基于香港证券交易所中资上市公司的实证分析</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郎艺;王辉（外）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管理评论</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23</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DEA and Machine Learning for Perpormance Prediction</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张志硕（学）;肖瑶（学）;牛华勇</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Mathematics</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10（10）</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三作/通讯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24</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Team Zhongyong Thinking and Team Incremental and Radical Creativity</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郎艺;张帆;尹俊（外）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Journal of Innovation &amp; Knowledge</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25</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Effects of Online Text Comments on Patients’ Choices: The Mediating Roles of Comment Sentiment and Comment Content</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范静;Huihui Geng（外）;Xuan Liu（外）;Jiachen Wang（学）</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Fortiers in Psychology</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26</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实体企业金融化与企业技术创新——来自非金融上市公司的经验证据</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彭龙（外）;詹惠蓉;文文（学）</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经济学家</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27</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User Engagement and User Loyalty Under Different Online Healthcare Community Incentives: An Experimental Study</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邵明星;赵新洁;李亚芳（外）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Frontiers in Psychology</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28</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 Study of Carbon Emission Efficiency in Chinese Provinces Based on a Three-Stage SBM-Undesirable Model and an LSTM Model.</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牛华勇;张志硕（学）;肖瑶（学）;罗曼婷（学）;Yumeng Chen（外）</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International Journal of Environmental Research and Public Health</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9（19）</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29</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Greenwashing and credit spread: Evidence from the Chinese green bond market</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徐国铨;Nuotian Lu（外）;Yan Tong（外）</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Finance Research Letters</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49（1）</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30</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CEO Duality and Bank Loan Contracting: Evidence from China</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陈翀（外）;崔慧洁;张亚男（外）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Emerging Markets Finance and Trade</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31</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asymmetric dominance of cognitive versus affective country image in driving purchase: Conditioning roles of cognition-affect intra-valence nature and product type</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马琳;宋泽宁;Xuemei Bian（外）</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International Business Review</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32</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企业资产负债表调整下的部门间债务重塑</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范德胜;邵兴宇（外）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宏观经济研究</w:t>
            </w:r>
          </w:p>
        </w:tc>
        <w:tc>
          <w:tcPr>
            <w:tcW w:w="783" w:type="pct"/>
            <w:vAlign w:val="center"/>
          </w:tcPr>
          <w:p>
            <w:pPr>
              <w:adjustRightInd w:val="0"/>
              <w:snapToGrid w:val="0"/>
              <w:jc w:val="center"/>
              <w:rPr>
                <w:rFonts w:ascii="宋体" w:hAnsi="宋体" w:eastAsia="宋体" w:cs="宋体"/>
                <w:sz w:val="18"/>
                <w:szCs w:val="18"/>
              </w:rPr>
            </w:pPr>
            <w:r>
              <w:rPr>
                <w:rFonts w:hint="eastAsia" w:ascii="宋体" w:hAnsi="宋体" w:eastAsia="宋体" w:cs="宋体"/>
                <w:sz w:val="18"/>
                <w:szCs w:val="18"/>
              </w:rPr>
              <w:t>2022（03) 138-152+175</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33</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impact of digital finance on household insurance purchases: evidence from micro data in China</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Xiao Hu（外）;Zhengjie Wang（外）;刘骏</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Geneva Papers on Risk and Insurance - Issues and Practice</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三作/通讯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34</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Optimum periodic maintenance policy of repairable multi-component system with component reallocation and system overhaul</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付玉强（外）;王军</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Reliability Engineering &amp; System Safety</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219（1）</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35</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创新产品的情景想象 ———时间视角与调节聚焦的匹配效应</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周圆圆;郑毓煌（外）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管理评论</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34（2）142-153</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36</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b/>
            </w:r>
            <w:r>
              <w:rPr>
                <w:rFonts w:hint="eastAsia" w:ascii="宋体" w:hAnsi="宋体" w:eastAsia="宋体" w:cs="宋体"/>
                <w:sz w:val="21"/>
                <w:szCs w:val="21"/>
              </w:rPr>
              <w:t>Joint Optimization of Spare Part Supply and Opportunistic Condition-Based Maintenance for Onshore Wind Farms Considering Maintenance Route</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朱晓燕（外）;王军;David W. Coit（外）</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IEEE Transactions on Engineering Management</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1（2022）1-17</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SCI,SSCI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37</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劳动力市场制度约束与企业出口：基于《劳动合同法》的证据</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张明昂（外）;施新政（外）;邵小快</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世界经济</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45（2）111-136</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三作/通讯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38</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Understanding the differences between Chinese and Western business practices: insights into Confucian philosophy</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朱旎冰;杨志林（外）;Cai Shaohan（外）;Sun Haohao（外）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European Journal of International Management</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17（2-3）180-197</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39</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Narcissistic Enough to Challenge: The Effect of Narcissism on Change-Oriented Organizational Citizenship Behavior</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郎艺;张宏宇（外）;Liu Jialin（外）;Zhang Xinyu（外）</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Frontiers in Psychology</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40</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COVID-19 pandemic as an impetus for pro-environmental behaviours: The role of causal attribution</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Ahmad Daryanto（外）;宋泽宁;Didier Soopramanien（外）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PERSONALITY AND INDIVIDUAL DIFFERENCES</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187（187）</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41</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国有机构投资者持股能提升企业投资效率吗？</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冯晓晴（外）;文雯</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经济管理</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（1）65-84</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42</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The Consumption-Stimulating Effect of Public Rental Housing in China</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邵小快;曹玉瑾（外）;滕阳川（外）; 陈济冬（外）；龚六堂（外）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China &amp; World Economy</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30（1）106-135</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43</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Customer concentration and bank loan contracting: evidence from China</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崔慧洁;李钰（外）;孙烨（外）;张亚男（外）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Asia-Pacific Journal of Accounting &amp; Economics</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一作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44</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关键审计事项减少了公司债券限制性条款吗——基于审计应对力度视角</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冯晓晴（外）;文雯;王新（外）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山西财经大学学报</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（1）113-126</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45</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社会信任与企业多元化经营</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申丹琳（外）;文雯;靳毓（外）</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财经问题研究</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（1）80-90</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46</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Do negative investor attitudes drive corporate social responsibility? Evidence from China</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Lijing Tong（外）;文雯;Lu Xie（外）;Bin Wu（外）</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Business Ethics, the Environment and Responsibility</w:t>
            </w:r>
          </w:p>
        </w:tc>
        <w:tc>
          <w:tcPr>
            <w:tcW w:w="78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31（1）239-256</w:t>
            </w: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47</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中庸思维对女性管理者应对角色冲突的影响——基于12个幼儿园的纵向追踪调研</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尹俊（外）;文秋香（外）;郎艺</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南京师大学报（社会科学版）</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CSSCI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三作/通讯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48</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Stock pledges by controlling shareholders and the disclosure of critical audit matters: evidence from China</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b/>
            </w:r>
            <w:r>
              <w:rPr>
                <w:rFonts w:hint="eastAsia" w:ascii="宋体" w:hAnsi="宋体" w:eastAsia="宋体" w:cs="宋体"/>
                <w:sz w:val="21"/>
                <w:szCs w:val="21"/>
              </w:rPr>
              <w:t>Feng Xiaoqing（外）;文雯;Ke Yun（外）;He Ying（外）</w:t>
            </w:r>
            <w:r>
              <w:rPr>
                <w:rFonts w:hint="eastAsia" w:ascii="宋体" w:hAnsi="宋体" w:eastAsia="宋体" w:cs="宋体"/>
                <w:sz w:val="21"/>
                <w:szCs w:val="21"/>
              </w:rPr>
              <w:tab/>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Asia-Pacific Journal of Accounting &amp; Economics</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SSCI</w:t>
            </w:r>
          </w:p>
        </w:tc>
        <w:tc>
          <w:tcPr>
            <w:tcW w:w="43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二作/通讯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49</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《机器人的经济影响研究—从微观企业到宏观经济》</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刘骏</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中国财政经济出版社</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专著</w:t>
            </w:r>
          </w:p>
        </w:tc>
        <w:tc>
          <w:tcPr>
            <w:tcW w:w="432" w:type="pct"/>
            <w:vAlign w:val="center"/>
          </w:tcPr>
          <w:p>
            <w:pPr>
              <w:adjustRightInd w:val="0"/>
              <w:snapToGrid w:val="0"/>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43"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50</w:t>
            </w:r>
          </w:p>
        </w:tc>
        <w:tc>
          <w:tcPr>
            <w:tcW w:w="1307"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中国会计师事务所审计风格研究</w:t>
            </w:r>
          </w:p>
        </w:tc>
        <w:tc>
          <w:tcPr>
            <w:tcW w:w="82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宋衍蘅</w:t>
            </w:r>
          </w:p>
        </w:tc>
        <w:tc>
          <w:tcPr>
            <w:tcW w:w="76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中国财政经济出版社</w:t>
            </w:r>
          </w:p>
        </w:tc>
        <w:tc>
          <w:tcPr>
            <w:tcW w:w="783" w:type="pct"/>
            <w:vAlign w:val="center"/>
          </w:tcPr>
          <w:p>
            <w:pPr>
              <w:adjustRightInd w:val="0"/>
              <w:snapToGrid w:val="0"/>
              <w:jc w:val="center"/>
              <w:rPr>
                <w:rFonts w:ascii="宋体" w:hAnsi="宋体" w:eastAsia="宋体" w:cs="宋体"/>
                <w:sz w:val="21"/>
                <w:szCs w:val="21"/>
              </w:rPr>
            </w:pPr>
          </w:p>
        </w:tc>
        <w:tc>
          <w:tcPr>
            <w:tcW w:w="541"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专著</w:t>
            </w:r>
          </w:p>
        </w:tc>
        <w:tc>
          <w:tcPr>
            <w:tcW w:w="432" w:type="pct"/>
            <w:vAlign w:val="center"/>
          </w:tcPr>
          <w:p>
            <w:pPr>
              <w:adjustRightInd w:val="0"/>
              <w:snapToGrid w:val="0"/>
              <w:jc w:val="center"/>
              <w:rPr>
                <w:rFonts w:ascii="宋体" w:hAnsi="宋体" w:eastAsia="宋体" w:cs="宋体"/>
                <w:sz w:val="21"/>
                <w:szCs w:val="21"/>
              </w:rPr>
            </w:pPr>
          </w:p>
        </w:tc>
      </w:tr>
    </w:tbl>
    <w:p>
      <w:pPr>
        <w:spacing w:before="163" w:beforeLines="50"/>
        <w:ind w:firstLine="480" w:firstLineChars="200"/>
        <w:outlineLvl w:val="0"/>
        <w:rPr>
          <w:rFonts w:ascii="黑体" w:hAnsi="黑体" w:eastAsia="黑体" w:cs="仿宋_GB2312"/>
        </w:rPr>
      </w:pPr>
    </w:p>
    <w:p>
      <w:pPr>
        <w:spacing w:before="163" w:beforeLines="50"/>
        <w:ind w:firstLine="480" w:firstLineChars="200"/>
        <w:outlineLvl w:val="0"/>
        <w:rPr>
          <w:rFonts w:ascii="黑体" w:hAnsi="黑体" w:eastAsia="黑体" w:cs="仿宋_GB2312"/>
        </w:rPr>
      </w:pPr>
    </w:p>
    <w:p>
      <w:pPr>
        <w:spacing w:before="163" w:beforeLines="50"/>
        <w:ind w:firstLine="480" w:firstLineChars="200"/>
        <w:outlineLvl w:val="0"/>
        <w:rPr>
          <w:rFonts w:ascii="黑体" w:hAnsi="黑体" w:eastAsia="黑体"/>
        </w:rPr>
      </w:pPr>
      <w:r>
        <w:rPr>
          <w:rFonts w:hint="eastAsia" w:ascii="黑体" w:hAnsi="黑体" w:eastAsia="黑体" w:cs="仿宋_GB2312"/>
        </w:rPr>
        <w:t>3.仪器设备的研制和改装情况</w:t>
      </w:r>
    </w:p>
    <w:tbl>
      <w:tblPr>
        <w:tblStyle w:val="7"/>
        <w:tblW w:w="4874" w:type="pct"/>
        <w:tblInd w:w="11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84"/>
        <w:gridCol w:w="1174"/>
        <w:gridCol w:w="1219"/>
        <w:gridCol w:w="1323"/>
        <w:gridCol w:w="2072"/>
        <w:gridCol w:w="192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2" w:hRule="atLeast"/>
        </w:trPr>
        <w:tc>
          <w:tcPr>
            <w:tcW w:w="352"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07"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仪器设</w:t>
            </w:r>
          </w:p>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备名称</w:t>
            </w:r>
          </w:p>
        </w:tc>
        <w:tc>
          <w:tcPr>
            <w:tcW w:w="734"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自制或</w:t>
            </w:r>
          </w:p>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改装</w:t>
            </w:r>
          </w:p>
        </w:tc>
        <w:tc>
          <w:tcPr>
            <w:tcW w:w="797" w:type="pct"/>
            <w:vAlign w:val="center"/>
          </w:tcPr>
          <w:p>
            <w:pPr>
              <w:adjustRightInd w:val="0"/>
              <w:snapToGrid w:val="0"/>
              <w:ind w:left="-120" w:leftChars="-50" w:right="-120" w:rightChars="-50"/>
              <w:jc w:val="center"/>
              <w:rPr>
                <w:rFonts w:ascii="宋体" w:hAnsi="宋体" w:eastAsia="宋体" w:cs="宋体"/>
                <w:b/>
                <w:bCs/>
                <w:sz w:val="21"/>
                <w:szCs w:val="21"/>
              </w:rPr>
            </w:pPr>
            <w:r>
              <w:rPr>
                <w:rFonts w:hint="eastAsia" w:ascii="宋体" w:hAnsi="宋体" w:eastAsia="宋体" w:cs="宋体"/>
                <w:b/>
                <w:bCs/>
                <w:sz w:val="21"/>
                <w:szCs w:val="21"/>
              </w:rPr>
              <w:t>开发的功能和用途</w:t>
            </w:r>
          </w:p>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（限100字以内）</w:t>
            </w:r>
          </w:p>
        </w:tc>
        <w:tc>
          <w:tcPr>
            <w:tcW w:w="1248"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研究成果</w:t>
            </w:r>
          </w:p>
          <w:p>
            <w:pPr>
              <w:adjustRightInd w:val="0"/>
              <w:snapToGrid w:val="0"/>
              <w:ind w:left="-240" w:leftChars="-100" w:right="-120" w:rightChars="-50"/>
              <w:jc w:val="center"/>
              <w:rPr>
                <w:rFonts w:ascii="宋体" w:hAnsi="宋体" w:eastAsia="宋体" w:cs="宋体"/>
                <w:b/>
                <w:bCs/>
                <w:sz w:val="21"/>
                <w:szCs w:val="21"/>
              </w:rPr>
            </w:pPr>
            <w:r>
              <w:rPr>
                <w:rFonts w:hint="eastAsia" w:ascii="宋体" w:hAnsi="宋体" w:eastAsia="宋体" w:cs="宋体"/>
                <w:b/>
                <w:bCs/>
                <w:sz w:val="21"/>
                <w:szCs w:val="21"/>
              </w:rPr>
              <w:t>（限100字以内）</w:t>
            </w:r>
          </w:p>
        </w:tc>
        <w:tc>
          <w:tcPr>
            <w:tcW w:w="1162"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推广和应用的高校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352" w:type="pct"/>
            <w:vAlign w:val="center"/>
          </w:tcPr>
          <w:p>
            <w:pPr>
              <w:adjustRightInd w:val="0"/>
              <w:snapToGrid w:val="0"/>
              <w:jc w:val="center"/>
              <w:rPr>
                <w:rFonts w:ascii="宋体" w:hAnsi="宋体" w:eastAsia="宋体" w:cs="宋体"/>
                <w:sz w:val="21"/>
                <w:szCs w:val="21"/>
              </w:rPr>
            </w:pPr>
          </w:p>
        </w:tc>
        <w:tc>
          <w:tcPr>
            <w:tcW w:w="707" w:type="pct"/>
            <w:vAlign w:val="center"/>
          </w:tcPr>
          <w:p>
            <w:pPr>
              <w:adjustRightInd w:val="0"/>
              <w:snapToGrid w:val="0"/>
              <w:jc w:val="center"/>
              <w:rPr>
                <w:rFonts w:ascii="宋体" w:hAnsi="宋体" w:eastAsia="宋体" w:cs="宋体"/>
                <w:sz w:val="21"/>
                <w:szCs w:val="21"/>
              </w:rPr>
            </w:pPr>
          </w:p>
        </w:tc>
        <w:tc>
          <w:tcPr>
            <w:tcW w:w="734" w:type="pct"/>
            <w:vAlign w:val="center"/>
          </w:tcPr>
          <w:p>
            <w:pPr>
              <w:adjustRightInd w:val="0"/>
              <w:snapToGrid w:val="0"/>
              <w:jc w:val="center"/>
              <w:rPr>
                <w:rFonts w:ascii="宋体" w:hAnsi="宋体" w:eastAsia="宋体" w:cs="宋体"/>
                <w:sz w:val="21"/>
                <w:szCs w:val="21"/>
              </w:rPr>
            </w:pPr>
          </w:p>
        </w:tc>
        <w:tc>
          <w:tcPr>
            <w:tcW w:w="797" w:type="pct"/>
            <w:vAlign w:val="center"/>
          </w:tcPr>
          <w:p>
            <w:pPr>
              <w:adjustRightInd w:val="0"/>
              <w:snapToGrid w:val="0"/>
              <w:jc w:val="center"/>
              <w:rPr>
                <w:rFonts w:ascii="宋体" w:hAnsi="宋体" w:eastAsia="宋体" w:cs="宋体"/>
                <w:sz w:val="21"/>
                <w:szCs w:val="21"/>
              </w:rPr>
            </w:pPr>
          </w:p>
        </w:tc>
        <w:tc>
          <w:tcPr>
            <w:tcW w:w="1248" w:type="pct"/>
            <w:vAlign w:val="center"/>
          </w:tcPr>
          <w:p>
            <w:pPr>
              <w:adjustRightInd w:val="0"/>
              <w:snapToGrid w:val="0"/>
              <w:jc w:val="center"/>
              <w:rPr>
                <w:rFonts w:ascii="宋体" w:hAnsi="宋体" w:eastAsia="宋体" w:cs="宋体"/>
                <w:sz w:val="21"/>
                <w:szCs w:val="21"/>
              </w:rPr>
            </w:pPr>
          </w:p>
        </w:tc>
        <w:tc>
          <w:tcPr>
            <w:tcW w:w="1162" w:type="pct"/>
            <w:vAlign w:val="center"/>
          </w:tcPr>
          <w:p>
            <w:pPr>
              <w:adjustRightInd w:val="0"/>
              <w:snapToGrid w:val="0"/>
              <w:jc w:val="center"/>
              <w:rPr>
                <w:rFonts w:ascii="宋体" w:hAnsi="宋体" w:eastAsia="宋体" w:cs="宋体"/>
                <w:sz w:val="21"/>
                <w:szCs w:val="21"/>
              </w:rPr>
            </w:pPr>
          </w:p>
        </w:tc>
      </w:tr>
    </w:tbl>
    <w:p>
      <w:pPr>
        <w:spacing w:before="163" w:beforeLines="50" w:after="163" w:afterLines="50"/>
        <w:ind w:firstLine="480" w:firstLineChars="200"/>
        <w:rPr>
          <w:rFonts w:ascii="黑体" w:hAnsi="黑体" w:eastAsia="黑体" w:cs="仿宋_GB2312"/>
        </w:rPr>
      </w:pPr>
    </w:p>
    <w:p>
      <w:pPr>
        <w:spacing w:before="163" w:beforeLines="50" w:after="163" w:afterLines="50"/>
        <w:ind w:firstLine="480" w:firstLineChars="200"/>
        <w:rPr>
          <w:rFonts w:ascii="黑体" w:hAnsi="黑体" w:eastAsia="黑体" w:cs="仿宋_GB2312"/>
        </w:rPr>
      </w:pPr>
      <w:r>
        <w:rPr>
          <w:rFonts w:hint="eastAsia" w:ascii="黑体" w:hAnsi="黑体" w:eastAsia="黑体" w:cs="仿宋_GB2312"/>
        </w:rPr>
        <w:t>4.其它成果情况</w:t>
      </w:r>
    </w:p>
    <w:tbl>
      <w:tblPr>
        <w:tblStyle w:val="7"/>
        <w:tblW w:w="4874" w:type="pct"/>
        <w:tblInd w:w="10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452"/>
        <w:gridCol w:w="38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1" w:hRule="atLeast"/>
        </w:trPr>
        <w:tc>
          <w:tcPr>
            <w:tcW w:w="2681" w:type="pct"/>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名称</w:t>
            </w:r>
          </w:p>
        </w:tc>
        <w:tc>
          <w:tcPr>
            <w:tcW w:w="2318" w:type="pct"/>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数量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1" w:hRule="atLeast"/>
        </w:trPr>
        <w:tc>
          <w:tcPr>
            <w:tcW w:w="2681" w:type="pct"/>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国内会议论文数</w:t>
            </w:r>
          </w:p>
        </w:tc>
        <w:tc>
          <w:tcPr>
            <w:tcW w:w="2318" w:type="pct"/>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1" w:hRule="atLeast"/>
        </w:trPr>
        <w:tc>
          <w:tcPr>
            <w:tcW w:w="2681" w:type="pct"/>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国际会议论文数</w:t>
            </w:r>
          </w:p>
        </w:tc>
        <w:tc>
          <w:tcPr>
            <w:tcW w:w="2318" w:type="pct"/>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r>
              <w:rPr>
                <w:rFonts w:hint="eastAsia" w:asciiTheme="minorEastAsia" w:hAnsiTheme="minorEastAsia" w:eastAsiaTheme="minorEastAsia" w:cstheme="minorEastAsia"/>
                <w:sz w:val="21"/>
                <w:szCs w:val="21"/>
              </w:rPr>
              <w:t>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1" w:hRule="atLeast"/>
        </w:trPr>
        <w:tc>
          <w:tcPr>
            <w:tcW w:w="2681" w:type="pct"/>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国内一般刊物发表论文数</w:t>
            </w:r>
          </w:p>
        </w:tc>
        <w:tc>
          <w:tcPr>
            <w:tcW w:w="2318" w:type="pct"/>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r>
              <w:rPr>
                <w:rFonts w:hint="eastAsia" w:asciiTheme="minorEastAsia" w:hAnsiTheme="minorEastAsia" w:eastAsiaTheme="minorEastAsia" w:cstheme="minorEastAsia"/>
                <w:sz w:val="21"/>
                <w:szCs w:val="21"/>
              </w:rPr>
              <w:t>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1" w:hRule="atLeast"/>
        </w:trPr>
        <w:tc>
          <w:tcPr>
            <w:tcW w:w="2681" w:type="pct"/>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省部委奖数</w:t>
            </w:r>
          </w:p>
        </w:tc>
        <w:tc>
          <w:tcPr>
            <w:tcW w:w="2318" w:type="pct"/>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r>
              <w:rPr>
                <w:rFonts w:hint="eastAsia" w:asciiTheme="minorEastAsia" w:hAnsiTheme="minorEastAsia" w:eastAsiaTheme="minorEastAsia" w:cstheme="minorEastAsia"/>
                <w:sz w:val="21"/>
                <w:szCs w:val="21"/>
              </w:rPr>
              <w:t>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1" w:hRule="atLeast"/>
        </w:trPr>
        <w:tc>
          <w:tcPr>
            <w:tcW w:w="2681" w:type="pct"/>
            <w:vAlign w:val="center"/>
          </w:tcPr>
          <w:p>
            <w:pPr>
              <w:adjustRightInd w:val="0"/>
              <w:snapToGrid w:val="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其它奖数</w:t>
            </w:r>
          </w:p>
        </w:tc>
        <w:tc>
          <w:tcPr>
            <w:tcW w:w="2318" w:type="pct"/>
            <w:vAlign w:val="center"/>
          </w:tcPr>
          <w:p>
            <w:pPr>
              <w:adjustRightInd w:val="0"/>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r>
              <w:rPr>
                <w:rFonts w:hint="eastAsia" w:asciiTheme="minorEastAsia" w:hAnsiTheme="minorEastAsia" w:eastAsiaTheme="minorEastAsia" w:cstheme="minorEastAsia"/>
                <w:sz w:val="21"/>
                <w:szCs w:val="21"/>
              </w:rPr>
              <w:t>项</w:t>
            </w:r>
          </w:p>
        </w:tc>
      </w:tr>
    </w:tbl>
    <w:p>
      <w:pPr>
        <w:spacing w:before="163" w:beforeLines="50"/>
        <w:rPr>
          <w:rFonts w:hint="eastAsia" w:ascii="黑体" w:hAnsi="黑体" w:eastAsia="黑体"/>
          <w:b/>
          <w:sz w:val="32"/>
          <w:szCs w:val="32"/>
        </w:rPr>
      </w:pPr>
    </w:p>
    <w:p>
      <w:pPr>
        <w:spacing w:before="163" w:beforeLines="50"/>
        <w:rPr>
          <w:rFonts w:ascii="黑体" w:hAnsi="黑体" w:eastAsia="黑体"/>
          <w:b/>
          <w:sz w:val="32"/>
          <w:szCs w:val="32"/>
        </w:rPr>
      </w:pPr>
      <w:r>
        <w:rPr>
          <w:rFonts w:hint="eastAsia" w:ascii="黑体" w:hAnsi="黑体" w:eastAsia="黑体"/>
          <w:b/>
          <w:sz w:val="32"/>
          <w:szCs w:val="32"/>
        </w:rPr>
        <w:t>五、</w:t>
      </w:r>
      <w:r>
        <w:rPr>
          <w:rFonts w:hint="eastAsia" w:ascii="黑体" w:hAnsi="黑体" w:eastAsia="黑体" w:cs="仿宋_GB2312"/>
          <w:b/>
          <w:sz w:val="32"/>
          <w:szCs w:val="32"/>
        </w:rPr>
        <w:t>信息化建设、开放运行和示范辐射情况</w:t>
      </w:r>
    </w:p>
    <w:p>
      <w:pPr>
        <w:spacing w:after="163" w:afterLines="50"/>
        <w:rPr>
          <w:rFonts w:ascii="黑体" w:hAnsi="黑体" w:eastAsia="黑体"/>
          <w:sz w:val="28"/>
          <w:szCs w:val="28"/>
        </w:rPr>
      </w:pPr>
      <w:r>
        <w:rPr>
          <w:rFonts w:hint="eastAsia" w:ascii="黑体" w:hAnsi="黑体" w:eastAsia="黑体"/>
          <w:sz w:val="28"/>
          <w:szCs w:val="28"/>
        </w:rPr>
        <w:t>（一）信息化建设情况</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565"/>
        <w:gridCol w:w="495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0" w:hRule="atLeast"/>
          <w:jc w:val="center"/>
        </w:trPr>
        <w:tc>
          <w:tcPr>
            <w:tcW w:w="2093"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中心网址</w:t>
            </w:r>
          </w:p>
        </w:tc>
        <w:tc>
          <w:tcPr>
            <w:tcW w:w="2906" w:type="pct"/>
          </w:tcPr>
          <w:p>
            <w:pPr>
              <w:adjustRightInd w:val="0"/>
              <w:snapToGrid w:val="0"/>
              <w:rPr>
                <w:rFonts w:ascii="宋体" w:hAnsi="宋体" w:eastAsia="宋体" w:cs="宋体"/>
                <w:sz w:val="21"/>
                <w:szCs w:val="21"/>
              </w:rPr>
            </w:pPr>
            <w:r>
              <w:rPr>
                <w:rFonts w:hint="eastAsia" w:ascii="宋体" w:hAnsi="宋体" w:eastAsia="宋体" w:cs="宋体"/>
                <w:sz w:val="21"/>
                <w:szCs w:val="21"/>
              </w:rPr>
              <w:t>https://ibs.bfsu.edu.cn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0" w:hRule="atLeast"/>
          <w:jc w:val="center"/>
        </w:trPr>
        <w:tc>
          <w:tcPr>
            <w:tcW w:w="2093"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中心网址年度访问总量</w:t>
            </w:r>
          </w:p>
        </w:tc>
        <w:tc>
          <w:tcPr>
            <w:tcW w:w="2906" w:type="pct"/>
          </w:tcPr>
          <w:p>
            <w:pPr>
              <w:adjustRightInd w:val="0"/>
              <w:snapToGrid w:val="0"/>
              <w:jc w:val="right"/>
              <w:rPr>
                <w:rFonts w:ascii="宋体" w:hAnsi="宋体" w:eastAsia="宋体" w:cs="宋体"/>
                <w:sz w:val="21"/>
                <w:szCs w:val="21"/>
              </w:rPr>
            </w:pPr>
            <w:r>
              <w:rPr>
                <w:rFonts w:hint="eastAsia" w:ascii="宋体" w:hAnsi="宋体" w:eastAsia="宋体" w:cs="宋体"/>
                <w:sz w:val="21"/>
                <w:szCs w:val="21"/>
              </w:rPr>
              <w:t>人次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460" w:hRule="atLeast"/>
          <w:jc w:val="center"/>
        </w:trPr>
        <w:tc>
          <w:tcPr>
            <w:tcW w:w="2093"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虚拟仿真实验教学项目</w:t>
            </w:r>
          </w:p>
        </w:tc>
        <w:tc>
          <w:tcPr>
            <w:tcW w:w="2906" w:type="pct"/>
          </w:tcPr>
          <w:p>
            <w:pPr>
              <w:adjustRightInd w:val="0"/>
              <w:snapToGrid w:val="0"/>
              <w:jc w:val="right"/>
              <w:rPr>
                <w:rFonts w:ascii="宋体" w:hAnsi="宋体" w:eastAsia="宋体" w:cs="宋体"/>
                <w:sz w:val="21"/>
                <w:szCs w:val="21"/>
              </w:rPr>
            </w:pPr>
            <w:r>
              <w:rPr>
                <w:rFonts w:hint="eastAsia" w:ascii="宋体" w:hAnsi="宋体" w:eastAsia="宋体" w:cs="宋体"/>
                <w:sz w:val="21"/>
                <w:szCs w:val="21"/>
              </w:rPr>
              <w:t>0项</w:t>
            </w:r>
          </w:p>
        </w:tc>
      </w:tr>
    </w:tbl>
    <w:p>
      <w:pPr>
        <w:spacing w:before="163" w:beforeLines="50"/>
        <w:rPr>
          <w:rFonts w:hint="eastAsia" w:ascii="黑体" w:hAnsi="黑体" w:eastAsia="黑体" w:cs="仿宋_GB2312"/>
          <w:sz w:val="28"/>
          <w:szCs w:val="28"/>
        </w:rPr>
      </w:pPr>
      <w:bookmarkStart w:id="0" w:name="_GoBack"/>
      <w:bookmarkEnd w:id="0"/>
    </w:p>
    <w:p>
      <w:pPr>
        <w:spacing w:before="163" w:beforeLines="50"/>
        <w:rPr>
          <w:rFonts w:ascii="黑体" w:hAnsi="黑体" w:eastAsia="黑体" w:cs="仿宋_GB2312"/>
          <w:sz w:val="28"/>
          <w:szCs w:val="28"/>
        </w:rPr>
      </w:pPr>
      <w:r>
        <w:rPr>
          <w:rFonts w:hint="eastAsia" w:ascii="黑体" w:hAnsi="黑体" w:eastAsia="黑体" w:cs="仿宋_GB2312"/>
          <w:sz w:val="28"/>
          <w:szCs w:val="28"/>
        </w:rPr>
        <w:t>（二）开放运行和示范辐射情况</w:t>
      </w:r>
    </w:p>
    <w:p>
      <w:pPr>
        <w:spacing w:before="163" w:beforeLines="50" w:after="163" w:afterLines="50"/>
        <w:ind w:firstLine="480" w:firstLineChars="200"/>
        <w:rPr>
          <w:rFonts w:ascii="黑体" w:hAnsi="黑体" w:eastAsia="黑体" w:cs="仿宋_GB2312"/>
        </w:rPr>
      </w:pPr>
      <w:r>
        <w:rPr>
          <w:rFonts w:hint="eastAsia" w:ascii="黑体" w:hAnsi="黑体" w:eastAsia="黑体" w:cs="仿宋_GB2312"/>
        </w:rPr>
        <w:t>1.参加示范中心联席会活动情况</w:t>
      </w:r>
    </w:p>
    <w:tbl>
      <w:tblPr>
        <w:tblStyle w:val="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783"/>
        <w:gridCol w:w="373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7" w:hRule="atLeast"/>
        </w:trPr>
        <w:tc>
          <w:tcPr>
            <w:tcW w:w="2808" w:type="pct"/>
            <w:vAlign w:val="center"/>
          </w:tcPr>
          <w:p>
            <w:pPr>
              <w:adjustRightInd w:val="0"/>
              <w:snapToGrid w:val="0"/>
              <w:jc w:val="center"/>
              <w:rPr>
                <w:rFonts w:ascii="宋体" w:hAnsi="宋体" w:eastAsia="宋体" w:cs="宋体"/>
                <w:b/>
                <w:bCs/>
                <w:sz w:val="21"/>
                <w:szCs w:val="21"/>
              </w:rPr>
            </w:pPr>
            <w:r>
              <w:rPr>
                <w:rFonts w:hint="eastAsia" w:ascii="宋体" w:hAnsi="宋体" w:eastAsia="宋体" w:cs="宋体"/>
                <w:b/>
                <w:bCs/>
                <w:sz w:val="21"/>
                <w:szCs w:val="21"/>
              </w:rPr>
              <w:t>所在示范中心联席会学科组名称</w:t>
            </w:r>
          </w:p>
        </w:tc>
        <w:tc>
          <w:tcPr>
            <w:tcW w:w="2192" w:type="pct"/>
          </w:tcPr>
          <w:p>
            <w:pPr>
              <w:adjustRightInd w:val="0"/>
              <w:snapToGrid w:val="0"/>
              <w:jc w:val="center"/>
              <w:rPr>
                <w:rFonts w:ascii="宋体" w:hAnsi="宋体" w:eastAsia="宋体" w:cs="宋体"/>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467" w:hRule="atLeast"/>
        </w:trPr>
        <w:tc>
          <w:tcPr>
            <w:tcW w:w="2808" w:type="pct"/>
            <w:vAlign w:val="center"/>
          </w:tcPr>
          <w:p>
            <w:pPr>
              <w:adjustRightInd w:val="0"/>
              <w:snapToGrid w:val="0"/>
              <w:ind w:firstLine="422" w:firstLineChars="200"/>
              <w:jc w:val="center"/>
              <w:rPr>
                <w:rFonts w:ascii="宋体" w:hAnsi="宋体" w:eastAsia="宋体" w:cs="宋体"/>
                <w:b/>
                <w:bCs/>
                <w:sz w:val="21"/>
                <w:szCs w:val="21"/>
              </w:rPr>
            </w:pPr>
            <w:r>
              <w:rPr>
                <w:rFonts w:hint="eastAsia" w:ascii="宋体" w:hAnsi="宋体" w:eastAsia="宋体" w:cs="宋体"/>
                <w:b/>
                <w:bCs/>
                <w:sz w:val="21"/>
                <w:szCs w:val="21"/>
              </w:rPr>
              <w:t>参加活动的人次数</w:t>
            </w:r>
          </w:p>
        </w:tc>
        <w:tc>
          <w:tcPr>
            <w:tcW w:w="2192" w:type="pct"/>
          </w:tcPr>
          <w:p>
            <w:pPr>
              <w:adjustRightInd w:val="0"/>
              <w:snapToGrid w:val="0"/>
              <w:jc w:val="center"/>
              <w:rPr>
                <w:rFonts w:ascii="宋体" w:hAnsi="宋体" w:eastAsia="宋体" w:cs="宋体"/>
                <w:sz w:val="21"/>
                <w:szCs w:val="21"/>
              </w:rPr>
            </w:pPr>
          </w:p>
        </w:tc>
      </w:tr>
    </w:tbl>
    <w:p>
      <w:pPr>
        <w:spacing w:before="163" w:beforeLines="50" w:after="163" w:afterLines="50"/>
        <w:ind w:firstLine="480" w:firstLineChars="200"/>
        <w:rPr>
          <w:rFonts w:hint="eastAsia" w:ascii="黑体" w:hAnsi="黑体" w:eastAsia="黑体" w:cs="仿宋_GB2312"/>
        </w:rPr>
      </w:pPr>
    </w:p>
    <w:p>
      <w:pPr>
        <w:spacing w:before="163" w:beforeLines="50" w:after="163" w:afterLines="50"/>
        <w:ind w:firstLine="480" w:firstLineChars="200"/>
        <w:rPr>
          <w:rFonts w:ascii="黑体" w:hAnsi="黑体" w:eastAsia="黑体"/>
        </w:rPr>
      </w:pPr>
      <w:r>
        <w:rPr>
          <w:rFonts w:hint="eastAsia" w:ascii="黑体" w:hAnsi="黑体" w:eastAsia="黑体" w:cs="仿宋_GB2312"/>
        </w:rPr>
        <w:t>2.承办大型会议情况</w:t>
      </w:r>
    </w:p>
    <w:tbl>
      <w:tblPr>
        <w:tblStyle w:val="7"/>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9"/>
        <w:gridCol w:w="2472"/>
        <w:gridCol w:w="1923"/>
        <w:gridCol w:w="1049"/>
        <w:gridCol w:w="927"/>
        <w:gridCol w:w="1025"/>
        <w:gridCol w:w="6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275"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50"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会议名称</w:t>
            </w:r>
          </w:p>
        </w:tc>
        <w:tc>
          <w:tcPr>
            <w:tcW w:w="1128"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主办单位名称</w:t>
            </w:r>
          </w:p>
        </w:tc>
        <w:tc>
          <w:tcPr>
            <w:tcW w:w="616"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会议主席</w:t>
            </w:r>
          </w:p>
        </w:tc>
        <w:tc>
          <w:tcPr>
            <w:tcW w:w="544"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参加人数</w:t>
            </w:r>
          </w:p>
        </w:tc>
        <w:tc>
          <w:tcPr>
            <w:tcW w:w="602"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时间</w:t>
            </w:r>
          </w:p>
        </w:tc>
        <w:tc>
          <w:tcPr>
            <w:tcW w:w="382"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275" w:type="pct"/>
            <w:vAlign w:val="center"/>
          </w:tcPr>
          <w:p>
            <w:pPr>
              <w:jc w:val="center"/>
              <w:rPr>
                <w:rFonts w:ascii="宋体" w:hAnsi="宋体" w:eastAsia="宋体" w:cs="宋体"/>
                <w:sz w:val="21"/>
                <w:szCs w:val="21"/>
              </w:rPr>
            </w:pPr>
            <w:r>
              <w:rPr>
                <w:rFonts w:hint="eastAsia" w:ascii="宋体" w:hAnsi="宋体" w:eastAsia="宋体" w:cs="宋体"/>
                <w:sz w:val="21"/>
                <w:szCs w:val="21"/>
              </w:rPr>
              <w:t>1</w:t>
            </w:r>
          </w:p>
        </w:tc>
        <w:tc>
          <w:tcPr>
            <w:tcW w:w="1450"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语言+创新学科发展暨北外全球传播实验室学术报告会</w:t>
            </w:r>
          </w:p>
        </w:tc>
        <w:tc>
          <w:tcPr>
            <w:tcW w:w="112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北京外国语大学</w:t>
            </w:r>
          </w:p>
        </w:tc>
        <w:tc>
          <w:tcPr>
            <w:tcW w:w="6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牛华勇</w:t>
            </w:r>
          </w:p>
        </w:tc>
        <w:tc>
          <w:tcPr>
            <w:tcW w:w="544"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80</w:t>
            </w:r>
          </w:p>
        </w:tc>
        <w:tc>
          <w:tcPr>
            <w:tcW w:w="60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2022.1</w:t>
            </w:r>
          </w:p>
        </w:tc>
        <w:tc>
          <w:tcPr>
            <w:tcW w:w="38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区域性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275"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w:t>
            </w:r>
          </w:p>
        </w:tc>
        <w:tc>
          <w:tcPr>
            <w:tcW w:w="1450"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战略咨询委员会成立大会</w:t>
            </w:r>
          </w:p>
        </w:tc>
        <w:tc>
          <w:tcPr>
            <w:tcW w:w="112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北京外国语大学</w:t>
            </w:r>
          </w:p>
        </w:tc>
        <w:tc>
          <w:tcPr>
            <w:tcW w:w="6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伊志宏</w:t>
            </w:r>
          </w:p>
        </w:tc>
        <w:tc>
          <w:tcPr>
            <w:tcW w:w="544"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50</w:t>
            </w:r>
          </w:p>
        </w:tc>
        <w:tc>
          <w:tcPr>
            <w:tcW w:w="60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2022.4</w:t>
            </w:r>
          </w:p>
        </w:tc>
        <w:tc>
          <w:tcPr>
            <w:tcW w:w="382" w:type="pct"/>
            <w:vAlign w:val="center"/>
          </w:tcPr>
          <w:p>
            <w:pPr>
              <w:adjustRightInd w:val="0"/>
              <w:snapToGrid w:val="0"/>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275"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3</w:t>
            </w:r>
          </w:p>
        </w:tc>
        <w:tc>
          <w:tcPr>
            <w:tcW w:w="1450"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2022中日韩区域合作与发展论坛</w:t>
            </w:r>
          </w:p>
        </w:tc>
        <w:tc>
          <w:tcPr>
            <w:tcW w:w="112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北京外国语大学</w:t>
            </w:r>
          </w:p>
        </w:tc>
        <w:tc>
          <w:tcPr>
            <w:tcW w:w="6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牛华勇</w:t>
            </w:r>
          </w:p>
        </w:tc>
        <w:tc>
          <w:tcPr>
            <w:tcW w:w="544"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60</w:t>
            </w:r>
          </w:p>
        </w:tc>
        <w:tc>
          <w:tcPr>
            <w:tcW w:w="60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2022.5</w:t>
            </w:r>
          </w:p>
        </w:tc>
        <w:tc>
          <w:tcPr>
            <w:tcW w:w="38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区域性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275"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4</w:t>
            </w:r>
          </w:p>
        </w:tc>
        <w:tc>
          <w:tcPr>
            <w:tcW w:w="1450"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“2022年北京国际微观经济学研讨会：实证、实验与理论”（2022 Beijing International Workshop on Microeconomics: Empirics, Experiments and Theory，2022MEET）</w:t>
            </w:r>
          </w:p>
        </w:tc>
        <w:tc>
          <w:tcPr>
            <w:tcW w:w="1128"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北京外国语大学</w:t>
            </w:r>
          </w:p>
        </w:tc>
        <w:tc>
          <w:tcPr>
            <w:tcW w:w="616"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牛华勇</w:t>
            </w:r>
          </w:p>
        </w:tc>
        <w:tc>
          <w:tcPr>
            <w:tcW w:w="544"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60</w:t>
            </w:r>
          </w:p>
        </w:tc>
        <w:tc>
          <w:tcPr>
            <w:tcW w:w="60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2022.11</w:t>
            </w:r>
          </w:p>
        </w:tc>
        <w:tc>
          <w:tcPr>
            <w:tcW w:w="382" w:type="pct"/>
            <w:vAlign w:val="center"/>
          </w:tcPr>
          <w:p>
            <w:pPr>
              <w:adjustRightInd w:val="0"/>
              <w:snapToGrid w:val="0"/>
              <w:jc w:val="center"/>
              <w:rPr>
                <w:rFonts w:ascii="宋体" w:hAnsi="宋体" w:eastAsia="宋体" w:cs="宋体"/>
                <w:sz w:val="21"/>
                <w:szCs w:val="21"/>
              </w:rPr>
            </w:pPr>
            <w:r>
              <w:rPr>
                <w:rFonts w:hint="eastAsia" w:ascii="宋体" w:hAnsi="宋体" w:eastAsia="宋体" w:cs="宋体"/>
                <w:sz w:val="21"/>
                <w:szCs w:val="21"/>
              </w:rPr>
              <w:t>区域性</w:t>
            </w:r>
          </w:p>
        </w:tc>
      </w:tr>
    </w:tbl>
    <w:p>
      <w:pPr>
        <w:spacing w:before="50" w:after="163" w:afterLines="50"/>
        <w:ind w:firstLine="470" w:firstLineChars="196"/>
        <w:rPr>
          <w:rFonts w:ascii="楷体" w:hAnsi="楷体" w:eastAsia="楷体"/>
          <w:bCs/>
        </w:rPr>
      </w:pPr>
    </w:p>
    <w:p>
      <w:pPr>
        <w:spacing w:before="50" w:after="163" w:afterLines="50"/>
        <w:ind w:firstLine="470" w:firstLineChars="196"/>
        <w:rPr>
          <w:rFonts w:ascii="黑体" w:hAnsi="黑体" w:eastAsia="黑体" w:cs="仿宋_GB2312"/>
        </w:rPr>
      </w:pPr>
      <w:r>
        <w:rPr>
          <w:rFonts w:hint="eastAsia" w:ascii="黑体" w:hAnsi="黑体" w:eastAsia="黑体" w:cs="仿宋_GB2312"/>
        </w:rPr>
        <w:t>3.参加大型会议情况</w:t>
      </w:r>
    </w:p>
    <w:tbl>
      <w:tblPr>
        <w:tblStyle w:val="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56"/>
        <w:gridCol w:w="1946"/>
        <w:gridCol w:w="937"/>
        <w:gridCol w:w="2132"/>
        <w:gridCol w:w="1025"/>
        <w:gridCol w:w="20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267" w:type="pct"/>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序号</w:t>
            </w:r>
          </w:p>
        </w:tc>
        <w:tc>
          <w:tcPr>
            <w:tcW w:w="1142" w:type="pct"/>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大会报告名称</w:t>
            </w:r>
          </w:p>
        </w:tc>
        <w:tc>
          <w:tcPr>
            <w:tcW w:w="550" w:type="pct"/>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报告人</w:t>
            </w:r>
          </w:p>
        </w:tc>
        <w:tc>
          <w:tcPr>
            <w:tcW w:w="1251" w:type="pct"/>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会议名称</w:t>
            </w:r>
          </w:p>
        </w:tc>
        <w:tc>
          <w:tcPr>
            <w:tcW w:w="602" w:type="pct"/>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时间</w:t>
            </w:r>
          </w:p>
        </w:tc>
        <w:tc>
          <w:tcPr>
            <w:tcW w:w="1186" w:type="pct"/>
            <w:vAlign w:val="center"/>
          </w:tcPr>
          <w:p>
            <w:pPr>
              <w:jc w:val="center"/>
              <w:rPr>
                <w:rFonts w:asciiTheme="minorEastAsia" w:hAnsiTheme="minorEastAsia" w:cstheme="minorEastAsia"/>
                <w:b/>
                <w:bCs/>
                <w:sz w:val="21"/>
                <w:szCs w:val="21"/>
              </w:rPr>
            </w:pPr>
            <w:r>
              <w:rPr>
                <w:rFonts w:hint="eastAsia" w:asciiTheme="minorEastAsia" w:hAnsiTheme="minorEastAsia" w:cstheme="minorEastAsia"/>
                <w:b/>
                <w:bCs/>
                <w:sz w:val="21"/>
                <w:szCs w:val="21"/>
              </w:rPr>
              <w:t>地点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6" w:hRule="atLeast"/>
          <w:jc w:val="center"/>
        </w:trPr>
        <w:tc>
          <w:tcPr>
            <w:tcW w:w="267" w:type="pct"/>
            <w:vAlign w:val="center"/>
          </w:tcPr>
          <w:p>
            <w:pPr>
              <w:adjustRightInd w:val="0"/>
              <w:snapToGrid w:val="0"/>
              <w:jc w:val="center"/>
              <w:rPr>
                <w:rFonts w:asciiTheme="minorEastAsia" w:hAnsiTheme="minorEastAsia" w:cstheme="minorEastAsia"/>
                <w:sz w:val="21"/>
                <w:szCs w:val="21"/>
              </w:rPr>
            </w:pPr>
          </w:p>
        </w:tc>
        <w:tc>
          <w:tcPr>
            <w:tcW w:w="1142" w:type="pct"/>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color w:val="000000"/>
                <w:sz w:val="21"/>
                <w:szCs w:val="21"/>
              </w:rPr>
              <w:t>数字经济下的金融科技与金融风险</w:t>
            </w:r>
          </w:p>
        </w:tc>
        <w:tc>
          <w:tcPr>
            <w:tcW w:w="550" w:type="pct"/>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color w:val="000000"/>
                <w:sz w:val="21"/>
                <w:szCs w:val="21"/>
              </w:rPr>
              <w:t>牛华勇</w:t>
            </w:r>
          </w:p>
        </w:tc>
        <w:tc>
          <w:tcPr>
            <w:tcW w:w="1251" w:type="pct"/>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color w:val="000000"/>
                <w:sz w:val="21"/>
                <w:szCs w:val="21"/>
              </w:rPr>
              <w:t>中国工业与应用数学学会（CSIAM）金融科技与算法专业委员会（筹）首届年会</w:t>
            </w:r>
          </w:p>
        </w:tc>
        <w:tc>
          <w:tcPr>
            <w:tcW w:w="602" w:type="pct"/>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sz w:val="21"/>
                <w:szCs w:val="21"/>
              </w:rPr>
              <w:t>2022.1</w:t>
            </w:r>
          </w:p>
        </w:tc>
        <w:tc>
          <w:tcPr>
            <w:tcW w:w="1186" w:type="pct"/>
            <w:vAlign w:val="center"/>
          </w:tcPr>
          <w:p>
            <w:pPr>
              <w:adjustRightInd w:val="0"/>
              <w:snapToGrid w:val="0"/>
              <w:jc w:val="center"/>
              <w:rPr>
                <w:rFonts w:asciiTheme="minorEastAsia" w:hAnsiTheme="minorEastAsia" w:cstheme="minorEastAsia"/>
                <w:sz w:val="21"/>
                <w:szCs w:val="21"/>
              </w:rPr>
            </w:pPr>
            <w:r>
              <w:rPr>
                <w:rFonts w:hint="eastAsia" w:asciiTheme="minorEastAsia" w:hAnsiTheme="minorEastAsia" w:cstheme="minorEastAsia"/>
                <w:color w:val="000000"/>
                <w:sz w:val="21"/>
                <w:szCs w:val="21"/>
              </w:rPr>
              <w:t>中国广东省珠海市</w:t>
            </w:r>
          </w:p>
        </w:tc>
      </w:tr>
    </w:tbl>
    <w:p>
      <w:pPr>
        <w:spacing w:before="50" w:after="163" w:afterLines="50"/>
        <w:ind w:firstLine="480" w:firstLineChars="200"/>
        <w:rPr>
          <w:rFonts w:ascii="楷体" w:hAnsi="楷体" w:eastAsia="楷体" w:cs="仿宋_GB2312"/>
          <w:bCs/>
        </w:rPr>
      </w:pPr>
    </w:p>
    <w:p>
      <w:pPr>
        <w:spacing w:before="50" w:after="163" w:afterLines="50"/>
        <w:ind w:firstLine="480" w:firstLineChars="200"/>
        <w:rPr>
          <w:rFonts w:ascii="黑体" w:hAnsi="黑体" w:eastAsia="黑体" w:cs="仿宋_GB2312"/>
        </w:rPr>
      </w:pPr>
      <w:r>
        <w:rPr>
          <w:rFonts w:hint="eastAsia" w:ascii="黑体" w:hAnsi="黑体" w:eastAsia="黑体" w:cs="仿宋_GB2312"/>
        </w:rPr>
        <w:t>4.承办竞赛情况</w:t>
      </w:r>
    </w:p>
    <w:tbl>
      <w:tblPr>
        <w:tblStyle w:val="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05"/>
        <w:gridCol w:w="1772"/>
        <w:gridCol w:w="809"/>
        <w:gridCol w:w="749"/>
        <w:gridCol w:w="1000"/>
        <w:gridCol w:w="903"/>
        <w:gridCol w:w="1569"/>
        <w:gridCol w:w="12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96" w:type="pct"/>
            <w:vAlign w:val="center"/>
          </w:tcPr>
          <w:p>
            <w:pPr>
              <w:ind w:left="-120" w:leftChars="-50" w:right="-120" w:rightChars="-50"/>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039"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竞赛名称</w:t>
            </w:r>
          </w:p>
        </w:tc>
        <w:tc>
          <w:tcPr>
            <w:tcW w:w="475"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竞赛级别</w:t>
            </w:r>
          </w:p>
        </w:tc>
        <w:tc>
          <w:tcPr>
            <w:tcW w:w="440"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参赛人数</w:t>
            </w:r>
          </w:p>
        </w:tc>
        <w:tc>
          <w:tcPr>
            <w:tcW w:w="587"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负责人</w:t>
            </w:r>
          </w:p>
        </w:tc>
        <w:tc>
          <w:tcPr>
            <w:tcW w:w="530"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职称</w:t>
            </w:r>
          </w:p>
        </w:tc>
        <w:tc>
          <w:tcPr>
            <w:tcW w:w="920"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起止时间</w:t>
            </w:r>
          </w:p>
        </w:tc>
        <w:tc>
          <w:tcPr>
            <w:tcW w:w="709"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总经费（万元）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296" w:type="pct"/>
            <w:vAlign w:val="center"/>
          </w:tcPr>
          <w:p>
            <w:pPr>
              <w:adjustRightInd w:val="0"/>
              <w:snapToGrid w:val="0"/>
              <w:jc w:val="center"/>
              <w:rPr>
                <w:rFonts w:ascii="宋体" w:hAnsi="宋体" w:eastAsia="宋体" w:cs="宋体"/>
                <w:sz w:val="21"/>
                <w:szCs w:val="21"/>
              </w:rPr>
            </w:pPr>
          </w:p>
        </w:tc>
        <w:tc>
          <w:tcPr>
            <w:tcW w:w="1039" w:type="pct"/>
            <w:vAlign w:val="center"/>
          </w:tcPr>
          <w:p>
            <w:pPr>
              <w:jc w:val="center"/>
              <w:rPr>
                <w:rFonts w:ascii="宋体" w:hAnsi="宋体" w:eastAsia="宋体" w:cs="宋体"/>
                <w:bCs/>
                <w:sz w:val="21"/>
                <w:szCs w:val="21"/>
              </w:rPr>
            </w:pPr>
          </w:p>
        </w:tc>
        <w:tc>
          <w:tcPr>
            <w:tcW w:w="475" w:type="pct"/>
            <w:vAlign w:val="center"/>
          </w:tcPr>
          <w:p>
            <w:pPr>
              <w:jc w:val="center"/>
              <w:rPr>
                <w:rFonts w:ascii="宋体" w:hAnsi="宋体" w:eastAsia="宋体" w:cs="宋体"/>
                <w:bCs/>
                <w:sz w:val="21"/>
                <w:szCs w:val="21"/>
              </w:rPr>
            </w:pPr>
          </w:p>
        </w:tc>
        <w:tc>
          <w:tcPr>
            <w:tcW w:w="440" w:type="pct"/>
            <w:vAlign w:val="center"/>
          </w:tcPr>
          <w:p>
            <w:pPr>
              <w:jc w:val="center"/>
              <w:rPr>
                <w:rFonts w:ascii="宋体" w:hAnsi="宋体" w:eastAsia="宋体" w:cs="宋体"/>
                <w:bCs/>
                <w:sz w:val="21"/>
                <w:szCs w:val="21"/>
              </w:rPr>
            </w:pPr>
          </w:p>
        </w:tc>
        <w:tc>
          <w:tcPr>
            <w:tcW w:w="587" w:type="pct"/>
            <w:vAlign w:val="center"/>
          </w:tcPr>
          <w:p>
            <w:pPr>
              <w:jc w:val="center"/>
              <w:rPr>
                <w:rFonts w:ascii="宋体" w:hAnsi="宋体" w:eastAsia="宋体" w:cs="宋体"/>
                <w:bCs/>
                <w:sz w:val="21"/>
                <w:szCs w:val="21"/>
              </w:rPr>
            </w:pPr>
          </w:p>
        </w:tc>
        <w:tc>
          <w:tcPr>
            <w:tcW w:w="530" w:type="pct"/>
            <w:vAlign w:val="center"/>
          </w:tcPr>
          <w:p>
            <w:pPr>
              <w:jc w:val="center"/>
              <w:rPr>
                <w:rFonts w:ascii="宋体" w:hAnsi="宋体" w:eastAsia="宋体" w:cs="宋体"/>
                <w:bCs/>
                <w:sz w:val="21"/>
                <w:szCs w:val="21"/>
              </w:rPr>
            </w:pPr>
          </w:p>
        </w:tc>
        <w:tc>
          <w:tcPr>
            <w:tcW w:w="920" w:type="pct"/>
            <w:vAlign w:val="center"/>
          </w:tcPr>
          <w:p>
            <w:pPr>
              <w:jc w:val="center"/>
              <w:rPr>
                <w:rFonts w:ascii="宋体" w:hAnsi="宋体" w:eastAsia="宋体" w:cs="宋体"/>
                <w:bCs/>
                <w:sz w:val="21"/>
                <w:szCs w:val="21"/>
              </w:rPr>
            </w:pPr>
          </w:p>
        </w:tc>
        <w:tc>
          <w:tcPr>
            <w:tcW w:w="709" w:type="pct"/>
            <w:vAlign w:val="center"/>
          </w:tcPr>
          <w:p>
            <w:pPr>
              <w:jc w:val="center"/>
              <w:rPr>
                <w:rFonts w:ascii="宋体" w:hAnsi="宋体" w:eastAsia="宋体" w:cs="宋体"/>
                <w:bCs/>
                <w:sz w:val="21"/>
                <w:szCs w:val="21"/>
              </w:rPr>
            </w:pPr>
          </w:p>
        </w:tc>
      </w:tr>
    </w:tbl>
    <w:p>
      <w:pPr>
        <w:spacing w:before="163" w:beforeLines="50" w:after="163" w:afterLines="50"/>
        <w:ind w:firstLine="480" w:firstLineChars="200"/>
        <w:rPr>
          <w:rFonts w:ascii="黑体" w:hAnsi="黑体" w:eastAsia="黑体" w:cs="仿宋_GB2312"/>
        </w:rPr>
      </w:pPr>
    </w:p>
    <w:p>
      <w:pPr>
        <w:spacing w:before="163" w:beforeLines="50" w:after="163" w:afterLines="50"/>
        <w:ind w:firstLine="480" w:firstLineChars="200"/>
        <w:rPr>
          <w:rFonts w:ascii="黑体" w:hAnsi="黑体" w:eastAsia="黑体" w:cs="仿宋_GB2312"/>
        </w:rPr>
      </w:pPr>
      <w:r>
        <w:rPr>
          <w:rFonts w:hint="eastAsia" w:ascii="黑体" w:hAnsi="黑体" w:eastAsia="黑体" w:cs="仿宋_GB2312"/>
        </w:rPr>
        <w:t>5.开展科普活动情况</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11"/>
        <w:gridCol w:w="1670"/>
        <w:gridCol w:w="1283"/>
        <w:gridCol w:w="485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4" w:hRule="atLeast"/>
          <w:jc w:val="center"/>
        </w:trPr>
        <w:tc>
          <w:tcPr>
            <w:tcW w:w="417"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980"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活动开展时间</w:t>
            </w:r>
          </w:p>
        </w:tc>
        <w:tc>
          <w:tcPr>
            <w:tcW w:w="753"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参加人数</w:t>
            </w:r>
          </w:p>
        </w:tc>
        <w:tc>
          <w:tcPr>
            <w:tcW w:w="2848" w:type="pct"/>
            <w:vAlign w:val="center"/>
          </w:tcPr>
          <w:p>
            <w:pPr>
              <w:jc w:val="center"/>
              <w:rPr>
                <w:rFonts w:ascii="宋体" w:hAnsi="宋体" w:eastAsia="宋体" w:cs="宋体"/>
                <w:b/>
                <w:bCs/>
                <w:sz w:val="21"/>
                <w:szCs w:val="21"/>
              </w:rPr>
            </w:pPr>
            <w:r>
              <w:rPr>
                <w:rFonts w:hint="eastAsia" w:ascii="宋体" w:hAnsi="宋体" w:eastAsia="宋体" w:cs="宋体"/>
                <w:b/>
                <w:bCs/>
                <w:sz w:val="21"/>
                <w:szCs w:val="21"/>
              </w:rPr>
              <w:t>活动报道网址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8" w:hRule="atLeast"/>
          <w:jc w:val="center"/>
        </w:trPr>
        <w:tc>
          <w:tcPr>
            <w:tcW w:w="417" w:type="pct"/>
            <w:vAlign w:val="center"/>
          </w:tcPr>
          <w:p>
            <w:pPr>
              <w:jc w:val="center"/>
              <w:rPr>
                <w:rFonts w:ascii="宋体" w:hAnsi="宋体" w:eastAsia="宋体" w:cs="宋体"/>
                <w:sz w:val="21"/>
                <w:szCs w:val="21"/>
              </w:rPr>
            </w:pPr>
          </w:p>
        </w:tc>
        <w:tc>
          <w:tcPr>
            <w:tcW w:w="980" w:type="pct"/>
            <w:vAlign w:val="center"/>
          </w:tcPr>
          <w:p>
            <w:pPr>
              <w:jc w:val="center"/>
              <w:rPr>
                <w:rFonts w:ascii="宋体" w:hAnsi="宋体" w:eastAsia="宋体" w:cs="宋体"/>
                <w:sz w:val="21"/>
                <w:szCs w:val="21"/>
              </w:rPr>
            </w:pPr>
          </w:p>
        </w:tc>
        <w:tc>
          <w:tcPr>
            <w:tcW w:w="753" w:type="pct"/>
            <w:vAlign w:val="center"/>
          </w:tcPr>
          <w:p>
            <w:pPr>
              <w:jc w:val="center"/>
              <w:rPr>
                <w:rFonts w:ascii="宋体" w:hAnsi="宋体" w:eastAsia="宋体" w:cs="宋体"/>
                <w:sz w:val="21"/>
                <w:szCs w:val="21"/>
              </w:rPr>
            </w:pPr>
          </w:p>
        </w:tc>
        <w:tc>
          <w:tcPr>
            <w:tcW w:w="2848" w:type="pct"/>
            <w:vAlign w:val="center"/>
          </w:tcPr>
          <w:p>
            <w:pPr>
              <w:jc w:val="center"/>
              <w:rPr>
                <w:rFonts w:ascii="宋体" w:hAnsi="宋体" w:eastAsia="宋体" w:cs="宋体"/>
                <w:sz w:val="21"/>
                <w:szCs w:val="21"/>
              </w:rPr>
            </w:pPr>
          </w:p>
        </w:tc>
      </w:tr>
    </w:tbl>
    <w:p>
      <w:pPr>
        <w:spacing w:before="163" w:beforeLines="50" w:after="163" w:afterLines="50"/>
        <w:ind w:firstLine="480" w:firstLineChars="200"/>
        <w:rPr>
          <w:rFonts w:hint="eastAsia" w:ascii="黑体" w:hAnsi="黑体" w:eastAsia="黑体" w:cs="仿宋_GB2312"/>
        </w:rPr>
      </w:pPr>
    </w:p>
    <w:p>
      <w:pPr>
        <w:spacing w:before="163" w:beforeLines="50" w:after="163" w:afterLines="50"/>
        <w:ind w:firstLine="480" w:firstLineChars="200"/>
        <w:rPr>
          <w:rFonts w:hint="eastAsia" w:ascii="黑体" w:hAnsi="黑体" w:eastAsia="黑体" w:cs="仿宋_GB2312"/>
        </w:rPr>
      </w:pPr>
    </w:p>
    <w:p>
      <w:pPr>
        <w:spacing w:before="163" w:beforeLines="50" w:after="163" w:afterLines="50"/>
        <w:ind w:firstLine="480" w:firstLineChars="200"/>
        <w:rPr>
          <w:rFonts w:ascii="黑体" w:hAnsi="黑体" w:eastAsia="黑体" w:cs="仿宋_GB2312"/>
        </w:rPr>
      </w:pPr>
      <w:r>
        <w:rPr>
          <w:rFonts w:hint="eastAsia" w:ascii="黑体" w:hAnsi="黑体" w:eastAsia="黑体" w:cs="仿宋_GB2312"/>
        </w:rPr>
        <w:t>6.承办培训情况</w:t>
      </w:r>
    </w:p>
    <w:tbl>
      <w:tblPr>
        <w:tblStyle w:val="7"/>
        <w:tblW w:w="864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0"/>
        <w:gridCol w:w="2681"/>
        <w:gridCol w:w="775"/>
        <w:gridCol w:w="996"/>
        <w:gridCol w:w="1130"/>
        <w:gridCol w:w="1260"/>
        <w:gridCol w:w="108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20" w:type="dxa"/>
            <w:vAlign w:val="center"/>
          </w:tcPr>
          <w:p>
            <w:pPr>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2681" w:type="dxa"/>
            <w:vAlign w:val="center"/>
          </w:tcPr>
          <w:p>
            <w:pPr>
              <w:jc w:val="center"/>
              <w:rPr>
                <w:rFonts w:ascii="宋体" w:hAnsi="宋体" w:eastAsia="宋体" w:cs="宋体"/>
                <w:b/>
                <w:bCs/>
                <w:sz w:val="21"/>
                <w:szCs w:val="21"/>
              </w:rPr>
            </w:pPr>
            <w:r>
              <w:rPr>
                <w:rFonts w:hint="eastAsia" w:ascii="宋体" w:hAnsi="宋体" w:eastAsia="宋体" w:cs="宋体"/>
                <w:b/>
                <w:bCs/>
                <w:sz w:val="21"/>
                <w:szCs w:val="21"/>
              </w:rPr>
              <w:t>培训项目名称</w:t>
            </w:r>
          </w:p>
        </w:tc>
        <w:tc>
          <w:tcPr>
            <w:tcW w:w="775" w:type="dxa"/>
            <w:vAlign w:val="center"/>
          </w:tcPr>
          <w:p>
            <w:pPr>
              <w:jc w:val="center"/>
              <w:rPr>
                <w:rFonts w:ascii="宋体" w:hAnsi="宋体" w:eastAsia="宋体" w:cs="宋体"/>
                <w:b/>
                <w:bCs/>
                <w:sz w:val="21"/>
                <w:szCs w:val="21"/>
              </w:rPr>
            </w:pPr>
            <w:r>
              <w:rPr>
                <w:rFonts w:hint="eastAsia" w:ascii="宋体" w:hAnsi="宋体" w:eastAsia="宋体" w:cs="宋体"/>
                <w:b/>
                <w:bCs/>
                <w:sz w:val="21"/>
                <w:szCs w:val="21"/>
              </w:rPr>
              <w:t>培训人数</w:t>
            </w:r>
          </w:p>
        </w:tc>
        <w:tc>
          <w:tcPr>
            <w:tcW w:w="996" w:type="dxa"/>
            <w:vAlign w:val="center"/>
          </w:tcPr>
          <w:p>
            <w:pPr>
              <w:jc w:val="center"/>
              <w:rPr>
                <w:rFonts w:ascii="宋体" w:hAnsi="宋体" w:eastAsia="宋体" w:cs="宋体"/>
                <w:b/>
                <w:bCs/>
                <w:sz w:val="21"/>
                <w:szCs w:val="21"/>
              </w:rPr>
            </w:pPr>
            <w:r>
              <w:rPr>
                <w:rFonts w:hint="eastAsia" w:ascii="宋体" w:hAnsi="宋体" w:eastAsia="宋体" w:cs="宋体"/>
                <w:b/>
                <w:bCs/>
                <w:sz w:val="21"/>
                <w:szCs w:val="21"/>
              </w:rPr>
              <w:t>负责人</w:t>
            </w:r>
          </w:p>
        </w:tc>
        <w:tc>
          <w:tcPr>
            <w:tcW w:w="1130" w:type="dxa"/>
            <w:vAlign w:val="center"/>
          </w:tcPr>
          <w:p>
            <w:pPr>
              <w:jc w:val="center"/>
              <w:rPr>
                <w:rFonts w:ascii="宋体" w:hAnsi="宋体" w:eastAsia="宋体" w:cs="宋体"/>
                <w:b/>
                <w:bCs/>
                <w:sz w:val="21"/>
                <w:szCs w:val="21"/>
              </w:rPr>
            </w:pPr>
            <w:r>
              <w:rPr>
                <w:rFonts w:hint="eastAsia" w:ascii="宋体" w:hAnsi="宋体" w:eastAsia="宋体" w:cs="宋体"/>
                <w:b/>
                <w:bCs/>
                <w:sz w:val="21"/>
                <w:szCs w:val="21"/>
              </w:rPr>
              <w:t>职称</w:t>
            </w:r>
          </w:p>
        </w:tc>
        <w:tc>
          <w:tcPr>
            <w:tcW w:w="1260" w:type="dxa"/>
            <w:vAlign w:val="center"/>
          </w:tcPr>
          <w:p>
            <w:pPr>
              <w:jc w:val="center"/>
              <w:rPr>
                <w:rFonts w:ascii="宋体" w:hAnsi="宋体" w:eastAsia="宋体" w:cs="宋体"/>
                <w:b/>
                <w:bCs/>
                <w:sz w:val="21"/>
                <w:szCs w:val="21"/>
              </w:rPr>
            </w:pPr>
            <w:r>
              <w:rPr>
                <w:rFonts w:hint="eastAsia" w:ascii="宋体" w:hAnsi="宋体" w:eastAsia="宋体" w:cs="宋体"/>
                <w:b/>
                <w:bCs/>
                <w:sz w:val="21"/>
                <w:szCs w:val="21"/>
              </w:rPr>
              <w:t>起止时间</w:t>
            </w:r>
          </w:p>
        </w:tc>
        <w:tc>
          <w:tcPr>
            <w:tcW w:w="1080" w:type="dxa"/>
            <w:vAlign w:val="center"/>
          </w:tcPr>
          <w:p>
            <w:pPr>
              <w:jc w:val="center"/>
              <w:rPr>
                <w:rFonts w:ascii="宋体" w:hAnsi="宋体" w:eastAsia="宋体" w:cs="宋体"/>
                <w:b/>
                <w:bCs/>
                <w:sz w:val="21"/>
                <w:szCs w:val="21"/>
              </w:rPr>
            </w:pPr>
            <w:r>
              <w:rPr>
                <w:rFonts w:hint="eastAsia" w:ascii="宋体" w:hAnsi="宋体" w:eastAsia="宋体" w:cs="宋体"/>
                <w:b/>
                <w:bCs/>
                <w:sz w:val="21"/>
                <w:szCs w:val="21"/>
              </w:rPr>
              <w:t>总经费（万元）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20" w:type="dxa"/>
            <w:vAlign w:val="center"/>
          </w:tcPr>
          <w:p>
            <w:pPr>
              <w:jc w:val="center"/>
              <w:rPr>
                <w:rFonts w:ascii="宋体" w:hAnsi="宋体" w:eastAsia="宋体" w:cs="宋体"/>
                <w:b/>
                <w:bCs/>
                <w:sz w:val="21"/>
                <w:szCs w:val="21"/>
              </w:rPr>
            </w:pPr>
            <w:r>
              <w:rPr>
                <w:rFonts w:hint="eastAsia" w:ascii="宋体" w:hAnsi="宋体" w:eastAsia="宋体" w:cs="宋体"/>
                <w:sz w:val="21"/>
                <w:szCs w:val="21"/>
              </w:rPr>
              <w:t>1</w:t>
            </w:r>
          </w:p>
        </w:tc>
        <w:tc>
          <w:tcPr>
            <w:tcW w:w="2681" w:type="dxa"/>
            <w:vAlign w:val="center"/>
          </w:tcPr>
          <w:p>
            <w:pPr>
              <w:ind w:right="-55" w:rightChars="-23"/>
              <w:jc w:val="center"/>
              <w:rPr>
                <w:rFonts w:ascii="宋体" w:hAnsi="宋体" w:eastAsia="宋体" w:cs="宋体"/>
                <w:sz w:val="21"/>
                <w:szCs w:val="21"/>
              </w:rPr>
            </w:pPr>
            <w:r>
              <w:rPr>
                <w:rFonts w:hint="eastAsia" w:ascii="宋体" w:hAnsi="宋体" w:eastAsia="宋体" w:cs="宋体"/>
                <w:sz w:val="21"/>
                <w:szCs w:val="21"/>
              </w:rPr>
              <w:t>“新文科建设与专业认证标准”讲座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45</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姚卫新</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2022.1.6</w:t>
            </w:r>
          </w:p>
        </w:tc>
        <w:tc>
          <w:tcPr>
            <w:tcW w:w="1080" w:type="dxa"/>
            <w:vAlign w:val="center"/>
          </w:tcPr>
          <w:p>
            <w:pPr>
              <w:jc w:val="center"/>
              <w:rPr>
                <w:rFonts w:ascii="宋体" w:hAnsi="宋体" w:eastAsia="宋体" w:cs="宋体"/>
                <w:b/>
                <w:bCs/>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2</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“面向创新的案例研究与互动导向的案例教学”分享会</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105</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肖静华</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2022.4.1</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3</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“政府公共研发与DARPA模式应用”分享会</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55</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张九庆</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研究员</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2022.4.13</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4</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“中国的日本研究与新时代的中日关系”分享会</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47</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林昶</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研究员</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2022.4.18</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5</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“一山难容二虎”？来自注册会计师签字大小的证据学术讲座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58</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陈宋生</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2022.4.20</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6</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“经济学学术论文写作漫谈——技术性分析与思想性阐述如何更好地结合”讲座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55</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郑红亮</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研究员</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2022.4.20</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7</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“国家科学基金选题与设计的一点体会”讲座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52</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唐加福</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2022.4.22</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8</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“《国家金融学》与中国碳减排、碳交易、碳中和”讲座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132</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陈云贤</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2022.4.25</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9</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“数字经济、电子商务与乡村振兴”讲座</w:t>
            </w:r>
          </w:p>
        </w:tc>
        <w:tc>
          <w:tcPr>
            <w:tcW w:w="775"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52</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郭沛</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2022.4.28</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10</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“百优管理案例开发要领与经验”分享会</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88</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程贵孙</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2022.5.12</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11</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北外大讲堂：数据分解方法及其在经济管理中的应用讲座</w:t>
            </w:r>
          </w:p>
        </w:tc>
        <w:tc>
          <w:tcPr>
            <w:tcW w:w="775"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78</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汪寿阳</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2022.5.31</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12</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北外大讲堂：“生产链长度与PPI——CPI分化”讲座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54</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倪红福</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2022.6.10</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13</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北外大讲堂：“我国绿色循环经济治理与宏观质量”讲座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25</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葛新权</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2022.7.14</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14</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“在线医疗中的医学术语：识别及影响”讲座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46</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张继龙</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讲师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2022.9.14</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15</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“中国市场的实证资产定价问题讨论”讲座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46</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李志勇</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讲师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2022.9.14</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16</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北外大讲堂：“从简单决策到系统思维”讲座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86</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杨晓光</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2022.9.21</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17</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“邓白氏的全球在营企业信息库D&amp;B Hoovers介绍——全球企业信息如何为教学和科研助力”讲座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15</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刘雷</w:t>
            </w:r>
          </w:p>
        </w:tc>
        <w:tc>
          <w:tcPr>
            <w:tcW w:w="1130" w:type="dxa"/>
            <w:vAlign w:val="center"/>
          </w:tcPr>
          <w:p>
            <w:pPr>
              <w:spacing w:line="320" w:lineRule="exact"/>
              <w:jc w:val="center"/>
              <w:rPr>
                <w:rFonts w:ascii="宋体" w:hAnsi="宋体" w:eastAsia="宋体" w:cs="宋体"/>
                <w:sz w:val="21"/>
                <w:szCs w:val="21"/>
              </w:rPr>
            </w:pP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2022.9.23</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18</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“会计学研究的思考与理解”讲座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35</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牛煜皓</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讲师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2022.9.28</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19</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“培养具有国际视野和国际竞争力的未来管理人才——《SAGE商业技巧》及《SAGE研究方法：大数据分析》助力您的课堂教学与自我学习”讲座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33</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郝楠</w:t>
            </w:r>
          </w:p>
        </w:tc>
        <w:tc>
          <w:tcPr>
            <w:tcW w:w="1130" w:type="dxa"/>
            <w:vAlign w:val="center"/>
          </w:tcPr>
          <w:p>
            <w:pPr>
              <w:spacing w:line="320" w:lineRule="exact"/>
              <w:jc w:val="center"/>
              <w:rPr>
                <w:rFonts w:ascii="宋体" w:hAnsi="宋体" w:eastAsia="宋体" w:cs="宋体"/>
                <w:sz w:val="21"/>
                <w:szCs w:val="21"/>
              </w:rPr>
            </w:pP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2022.9.28</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20</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“国际商学院本科教学经验分享——经济学教学的思考与理解”讲座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55</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连增</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副教授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2022.11.2</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21</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“国际商学院本科教学经验分享——面向新文科建设大数据分析类课程教学经验分享”讲座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56</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李虓</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讲师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2022.11.2</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22</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北外大讲堂：“学术追求中的好奇心”讲座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154</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吴溪</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2022.11.3</w:t>
            </w:r>
          </w:p>
        </w:tc>
        <w:tc>
          <w:tcPr>
            <w:tcW w:w="1080" w:type="dxa"/>
            <w:vAlign w:val="center"/>
          </w:tcPr>
          <w:p>
            <w:pPr>
              <w:spacing w:line="320" w:lineRule="exact"/>
              <w:jc w:val="center"/>
              <w:rPr>
                <w:rFonts w:ascii="宋体" w:hAnsi="宋体" w:eastAsia="宋体" w:cs="宋体"/>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72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23</w:t>
            </w:r>
          </w:p>
        </w:tc>
        <w:tc>
          <w:tcPr>
            <w:tcW w:w="2681" w:type="dxa"/>
            <w:vAlign w:val="center"/>
          </w:tcPr>
          <w:p>
            <w:pPr>
              <w:jc w:val="center"/>
              <w:rPr>
                <w:rFonts w:ascii="宋体" w:hAnsi="宋体" w:eastAsia="宋体" w:cs="宋体"/>
                <w:sz w:val="21"/>
                <w:szCs w:val="21"/>
              </w:rPr>
            </w:pPr>
            <w:r>
              <w:rPr>
                <w:rFonts w:hint="eastAsia" w:ascii="宋体" w:hAnsi="宋体" w:eastAsia="宋体" w:cs="宋体"/>
                <w:sz w:val="21"/>
                <w:szCs w:val="21"/>
              </w:rPr>
              <w:t>“国际商学院本科教学经验分享——以《高等数学》为例”讲座</w:t>
            </w:r>
          </w:p>
        </w:tc>
        <w:tc>
          <w:tcPr>
            <w:tcW w:w="775" w:type="dxa"/>
            <w:vAlign w:val="center"/>
          </w:tcPr>
          <w:p>
            <w:pPr>
              <w:jc w:val="center"/>
              <w:rPr>
                <w:rFonts w:ascii="宋体" w:hAnsi="宋体" w:eastAsia="宋体" w:cs="宋体"/>
                <w:sz w:val="21"/>
                <w:szCs w:val="21"/>
              </w:rPr>
            </w:pPr>
            <w:r>
              <w:rPr>
                <w:rFonts w:hint="eastAsia" w:ascii="宋体" w:hAnsi="宋体" w:eastAsia="宋体" w:cs="宋体"/>
                <w:sz w:val="21"/>
                <w:szCs w:val="21"/>
              </w:rPr>
              <w:t>48</w:t>
            </w:r>
          </w:p>
        </w:tc>
        <w:tc>
          <w:tcPr>
            <w:tcW w:w="996" w:type="dxa"/>
            <w:vAlign w:val="center"/>
          </w:tcPr>
          <w:p>
            <w:pPr>
              <w:jc w:val="center"/>
              <w:rPr>
                <w:rFonts w:ascii="宋体" w:hAnsi="宋体" w:eastAsia="宋体" w:cs="宋体"/>
                <w:sz w:val="21"/>
                <w:szCs w:val="21"/>
              </w:rPr>
            </w:pPr>
            <w:r>
              <w:rPr>
                <w:rFonts w:hint="eastAsia" w:ascii="宋体" w:hAnsi="宋体" w:eastAsia="宋体" w:cs="宋体"/>
                <w:sz w:val="21"/>
                <w:szCs w:val="21"/>
              </w:rPr>
              <w:t>詹惠蓉</w:t>
            </w:r>
          </w:p>
        </w:tc>
        <w:tc>
          <w:tcPr>
            <w:tcW w:w="1130" w:type="dxa"/>
            <w:vAlign w:val="center"/>
          </w:tcPr>
          <w:p>
            <w:pPr>
              <w:spacing w:line="320" w:lineRule="exact"/>
              <w:jc w:val="center"/>
              <w:rPr>
                <w:rFonts w:ascii="宋体" w:hAnsi="宋体" w:eastAsia="宋体" w:cs="宋体"/>
                <w:sz w:val="21"/>
                <w:szCs w:val="21"/>
              </w:rPr>
            </w:pPr>
            <w:r>
              <w:rPr>
                <w:rFonts w:hint="eastAsia" w:ascii="宋体" w:hAnsi="宋体" w:eastAsia="宋体" w:cs="宋体"/>
                <w:sz w:val="21"/>
                <w:szCs w:val="21"/>
              </w:rPr>
              <w:t>副教授</w:t>
            </w:r>
          </w:p>
        </w:tc>
        <w:tc>
          <w:tcPr>
            <w:tcW w:w="1260" w:type="dxa"/>
            <w:vAlign w:val="center"/>
          </w:tcPr>
          <w:p>
            <w:pPr>
              <w:jc w:val="center"/>
              <w:rPr>
                <w:rFonts w:ascii="宋体" w:hAnsi="宋体" w:eastAsia="宋体" w:cs="宋体"/>
                <w:sz w:val="21"/>
                <w:szCs w:val="21"/>
              </w:rPr>
            </w:pPr>
            <w:r>
              <w:rPr>
                <w:rFonts w:hint="eastAsia" w:ascii="宋体" w:hAnsi="宋体" w:eastAsia="宋体" w:cs="宋体"/>
                <w:sz w:val="21"/>
                <w:szCs w:val="21"/>
              </w:rPr>
              <w:t>2022.11.9</w:t>
            </w:r>
          </w:p>
        </w:tc>
        <w:tc>
          <w:tcPr>
            <w:tcW w:w="1080" w:type="dxa"/>
            <w:vAlign w:val="center"/>
          </w:tcPr>
          <w:p>
            <w:pPr>
              <w:spacing w:line="320" w:lineRule="exact"/>
              <w:jc w:val="center"/>
              <w:rPr>
                <w:rFonts w:ascii="宋体" w:hAnsi="宋体" w:eastAsia="宋体" w:cs="宋体"/>
                <w:sz w:val="21"/>
                <w:szCs w:val="21"/>
              </w:rPr>
            </w:pPr>
          </w:p>
        </w:tc>
      </w:tr>
    </w:tbl>
    <w:p>
      <w:pPr>
        <w:spacing w:before="163" w:beforeLines="50"/>
        <w:rPr>
          <w:rFonts w:hint="eastAsia" w:ascii="黑体" w:hAnsi="黑体" w:eastAsia="黑体"/>
          <w:sz w:val="28"/>
          <w:szCs w:val="28"/>
        </w:rPr>
      </w:pPr>
    </w:p>
    <w:p>
      <w:pPr>
        <w:spacing w:before="163" w:beforeLines="50"/>
        <w:rPr>
          <w:rFonts w:ascii="黑体" w:hAnsi="黑体" w:eastAsia="黑体"/>
          <w:sz w:val="28"/>
          <w:szCs w:val="28"/>
        </w:rPr>
      </w:pPr>
      <w:r>
        <w:rPr>
          <w:rFonts w:hint="eastAsia" w:ascii="黑体" w:hAnsi="黑体" w:eastAsia="黑体"/>
          <w:sz w:val="28"/>
          <w:szCs w:val="28"/>
        </w:rPr>
        <w:t>（三）安全工作情况</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28"/>
        <w:gridCol w:w="2129"/>
        <w:gridCol w:w="425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4261" w:type="dxa"/>
            <w:gridSpan w:val="2"/>
            <w:vAlign w:val="center"/>
          </w:tcPr>
          <w:p>
            <w:pPr>
              <w:adjustRightInd w:val="0"/>
              <w:snapToGrid w:val="0"/>
              <w:jc w:val="center"/>
              <w:rPr>
                <w:rFonts w:ascii="宋体" w:hAnsi="宋体" w:eastAsia="宋体" w:cs="宋体"/>
                <w:bCs/>
                <w:sz w:val="21"/>
                <w:szCs w:val="21"/>
              </w:rPr>
            </w:pPr>
            <w:r>
              <w:rPr>
                <w:rFonts w:hint="eastAsia" w:ascii="宋体" w:hAnsi="宋体" w:eastAsia="宋体" w:cs="宋体"/>
                <w:bCs/>
                <w:sz w:val="21"/>
                <w:szCs w:val="21"/>
              </w:rPr>
              <w:t>安全教育培训情况</w:t>
            </w:r>
          </w:p>
        </w:tc>
        <w:tc>
          <w:tcPr>
            <w:tcW w:w="4261" w:type="dxa"/>
            <w:vAlign w:val="center"/>
          </w:tcPr>
          <w:p>
            <w:pPr>
              <w:adjustRightInd w:val="0"/>
              <w:snapToGrid w:val="0"/>
              <w:jc w:val="center"/>
              <w:rPr>
                <w:rFonts w:ascii="宋体" w:hAnsi="宋体" w:eastAsia="宋体" w:cs="宋体"/>
                <w:bCs/>
                <w:sz w:val="21"/>
                <w:szCs w:val="21"/>
              </w:rPr>
            </w:pPr>
            <w:r>
              <w:rPr>
                <w:rFonts w:hint="eastAsia" w:ascii="宋体" w:hAnsi="宋体" w:eastAsia="宋体" w:cs="宋体"/>
                <w:bCs/>
                <w:sz w:val="21"/>
                <w:szCs w:val="21"/>
              </w:rPr>
              <w:t>10人次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8522" w:type="dxa"/>
            <w:gridSpan w:val="3"/>
            <w:vAlign w:val="center"/>
          </w:tcPr>
          <w:p>
            <w:pPr>
              <w:adjustRightInd w:val="0"/>
              <w:snapToGrid w:val="0"/>
              <w:jc w:val="center"/>
              <w:rPr>
                <w:rFonts w:ascii="宋体" w:hAnsi="宋体" w:eastAsia="宋体" w:cs="宋体"/>
                <w:bCs/>
                <w:sz w:val="21"/>
                <w:szCs w:val="21"/>
              </w:rPr>
            </w:pPr>
            <w:r>
              <w:rPr>
                <w:rFonts w:hint="eastAsia" w:ascii="宋体" w:hAnsi="宋体" w:eastAsia="宋体" w:cs="宋体"/>
                <w:bCs/>
                <w:sz w:val="21"/>
                <w:szCs w:val="21"/>
              </w:rPr>
              <w:t>是否发生安全责任事故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4260" w:type="dxa"/>
            <w:gridSpan w:val="2"/>
            <w:vAlign w:val="center"/>
          </w:tcPr>
          <w:p>
            <w:pPr>
              <w:adjustRightInd w:val="0"/>
              <w:snapToGrid w:val="0"/>
              <w:jc w:val="center"/>
              <w:rPr>
                <w:rFonts w:ascii="宋体" w:hAnsi="宋体" w:eastAsia="宋体" w:cs="宋体"/>
                <w:bCs/>
                <w:sz w:val="21"/>
                <w:szCs w:val="21"/>
              </w:rPr>
            </w:pPr>
            <w:r>
              <w:rPr>
                <w:rFonts w:hint="eastAsia" w:ascii="宋体" w:hAnsi="宋体" w:eastAsia="宋体" w:cs="宋体"/>
                <w:bCs/>
                <w:sz w:val="21"/>
                <w:szCs w:val="21"/>
              </w:rPr>
              <w:t>伤亡人数（人）</w:t>
            </w:r>
          </w:p>
        </w:tc>
        <w:tc>
          <w:tcPr>
            <w:tcW w:w="4262" w:type="dxa"/>
            <w:vMerge w:val="restart"/>
            <w:vAlign w:val="center"/>
          </w:tcPr>
          <w:p>
            <w:pPr>
              <w:adjustRightInd w:val="0"/>
              <w:snapToGrid w:val="0"/>
              <w:jc w:val="center"/>
              <w:rPr>
                <w:rFonts w:ascii="宋体" w:hAnsi="宋体" w:eastAsia="宋体" w:cs="宋体"/>
                <w:bCs/>
                <w:sz w:val="21"/>
                <w:szCs w:val="21"/>
              </w:rPr>
            </w:pPr>
            <w:r>
              <w:rPr>
                <w:rFonts w:hint="eastAsia" w:ascii="宋体" w:hAnsi="宋体" w:eastAsia="宋体" w:cs="宋体"/>
                <w:bCs/>
                <w:sz w:val="21"/>
                <w:szCs w:val="21"/>
              </w:rPr>
              <w:t>未发生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2130" w:type="dxa"/>
            <w:vAlign w:val="center"/>
          </w:tcPr>
          <w:p>
            <w:pPr>
              <w:adjustRightInd w:val="0"/>
              <w:snapToGrid w:val="0"/>
              <w:jc w:val="center"/>
              <w:rPr>
                <w:rFonts w:ascii="宋体" w:hAnsi="宋体" w:eastAsia="宋体" w:cs="宋体"/>
                <w:bCs/>
                <w:sz w:val="21"/>
                <w:szCs w:val="21"/>
              </w:rPr>
            </w:pPr>
            <w:r>
              <w:rPr>
                <w:rFonts w:hint="eastAsia" w:ascii="宋体" w:hAnsi="宋体" w:eastAsia="宋体" w:cs="宋体"/>
                <w:bCs/>
                <w:sz w:val="21"/>
                <w:szCs w:val="21"/>
              </w:rPr>
              <w:t>伤</w:t>
            </w:r>
          </w:p>
        </w:tc>
        <w:tc>
          <w:tcPr>
            <w:tcW w:w="2130" w:type="dxa"/>
            <w:vAlign w:val="center"/>
          </w:tcPr>
          <w:p>
            <w:pPr>
              <w:adjustRightInd w:val="0"/>
              <w:snapToGrid w:val="0"/>
              <w:jc w:val="center"/>
              <w:rPr>
                <w:rFonts w:ascii="宋体" w:hAnsi="宋体" w:eastAsia="宋体" w:cs="宋体"/>
                <w:bCs/>
                <w:sz w:val="21"/>
                <w:szCs w:val="21"/>
              </w:rPr>
            </w:pPr>
            <w:r>
              <w:rPr>
                <w:rFonts w:hint="eastAsia" w:ascii="宋体" w:hAnsi="宋体" w:eastAsia="宋体" w:cs="宋体"/>
                <w:bCs/>
                <w:sz w:val="21"/>
                <w:szCs w:val="21"/>
              </w:rPr>
              <w:t>亡</w:t>
            </w:r>
          </w:p>
        </w:tc>
        <w:tc>
          <w:tcPr>
            <w:tcW w:w="4262" w:type="dxa"/>
            <w:vMerge w:val="continue"/>
            <w:vAlign w:val="center"/>
          </w:tcPr>
          <w:p>
            <w:pPr>
              <w:adjustRightInd w:val="0"/>
              <w:snapToGrid w:val="0"/>
              <w:jc w:val="center"/>
              <w:rPr>
                <w:rFonts w:ascii="宋体" w:hAnsi="宋体" w:eastAsia="宋体" w:cs="宋体"/>
                <w:bCs/>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2130" w:type="dxa"/>
            <w:vAlign w:val="center"/>
          </w:tcPr>
          <w:p>
            <w:pPr>
              <w:adjustRightInd w:val="0"/>
              <w:snapToGrid w:val="0"/>
              <w:jc w:val="center"/>
              <w:rPr>
                <w:rFonts w:ascii="宋体" w:hAnsi="宋体" w:eastAsia="宋体" w:cs="宋体"/>
                <w:bCs/>
                <w:sz w:val="21"/>
                <w:szCs w:val="21"/>
              </w:rPr>
            </w:pPr>
            <w:r>
              <w:rPr>
                <w:rFonts w:hint="eastAsia" w:ascii="宋体" w:hAnsi="宋体" w:eastAsia="宋体" w:cs="宋体"/>
                <w:bCs/>
                <w:sz w:val="21"/>
                <w:szCs w:val="21"/>
              </w:rPr>
              <w:t>0</w:t>
            </w:r>
          </w:p>
        </w:tc>
        <w:tc>
          <w:tcPr>
            <w:tcW w:w="2130" w:type="dxa"/>
            <w:vAlign w:val="center"/>
          </w:tcPr>
          <w:p>
            <w:pPr>
              <w:adjustRightInd w:val="0"/>
              <w:snapToGrid w:val="0"/>
              <w:jc w:val="center"/>
              <w:rPr>
                <w:rFonts w:ascii="宋体" w:hAnsi="宋体" w:eastAsia="宋体" w:cs="宋体"/>
                <w:bCs/>
                <w:sz w:val="21"/>
                <w:szCs w:val="21"/>
              </w:rPr>
            </w:pPr>
            <w:r>
              <w:rPr>
                <w:rFonts w:hint="eastAsia" w:ascii="宋体" w:hAnsi="宋体" w:eastAsia="宋体" w:cs="宋体"/>
                <w:bCs/>
                <w:sz w:val="21"/>
                <w:szCs w:val="21"/>
              </w:rPr>
              <w:t>0</w:t>
            </w:r>
          </w:p>
        </w:tc>
        <w:tc>
          <w:tcPr>
            <w:tcW w:w="4262" w:type="dxa"/>
            <w:vAlign w:val="center"/>
          </w:tcPr>
          <w:p>
            <w:pPr>
              <w:adjustRightInd w:val="0"/>
              <w:snapToGrid w:val="0"/>
              <w:jc w:val="center"/>
              <w:rPr>
                <w:rFonts w:ascii="宋体" w:hAnsi="宋体" w:eastAsia="宋体" w:cs="宋体"/>
                <w:bCs/>
                <w:sz w:val="21"/>
                <w:szCs w:val="21"/>
              </w:rPr>
            </w:pPr>
          </w:p>
        </w:tc>
      </w:tr>
    </w:tbl>
    <w:p>
      <w:pPr>
        <w:widowControl/>
        <w:rPr>
          <w:rFonts w:ascii="仿宋" w:hAnsi="仿宋" w:eastAsia="仿宋" w:cs="Times New Roman"/>
          <w:kern w:val="0"/>
          <w:sz w:val="32"/>
          <w:szCs w:val="32"/>
        </w:rPr>
      </w:pPr>
    </w:p>
    <w:sectPr>
      <w:footerReference r:id="rId3" w:type="default"/>
      <w:pgSz w:w="11900" w:h="16840"/>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auto"/>
    <w:pitch w:val="default"/>
    <w:sig w:usb0="00000000" w:usb1="00000000" w:usb2="00000000" w:usb3="00000000" w:csb0="0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409577"/>
    </w:sdtPr>
    <w:sdtContent>
      <w:p>
        <w:pPr>
          <w:pStyle w:val="4"/>
          <w:jc w:val="center"/>
        </w:pPr>
        <w:r>
          <w:fldChar w:fldCharType="begin"/>
        </w:r>
        <w:r>
          <w:instrText xml:space="preserve">PAGE   \* MERGEFORMAT</w:instrText>
        </w:r>
        <w:r>
          <w:fldChar w:fldCharType="separate"/>
        </w:r>
        <w:r>
          <w:rPr>
            <w:lang w:val="zh-CN"/>
          </w:rPr>
          <w:t>21</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9C4C23"/>
    <w:multiLevelType w:val="singleLevel"/>
    <w:tmpl w:val="B29C4C23"/>
    <w:lvl w:ilvl="0" w:tentative="0">
      <w:start w:val="2"/>
      <w:numFmt w:val="chineseCounting"/>
      <w:suff w:val="nothing"/>
      <w:lvlText w:val="%1、"/>
      <w:lvlJc w:val="left"/>
      <w:rPr>
        <w:rFonts w:hint="eastAsia"/>
      </w:rPr>
    </w:lvl>
  </w:abstractNum>
  <w:abstractNum w:abstractNumId="1">
    <w:nsid w:val="0BB95DAC"/>
    <w:multiLevelType w:val="multilevel"/>
    <w:tmpl w:val="0BB95DAC"/>
    <w:lvl w:ilvl="0" w:tentative="0">
      <w:start w:val="1"/>
      <w:numFmt w:val="decimal"/>
      <w:lvlText w:val="%1"/>
      <w:lvlJc w:val="left"/>
      <w:pPr>
        <w:ind w:left="420" w:hanging="420"/>
      </w:pPr>
      <w:rPr>
        <w:rFonts w:ascii="仿宋" w:hAnsi="仿宋" w:eastAsia="仿宋"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CB0D00"/>
    <w:multiLevelType w:val="multilevel"/>
    <w:tmpl w:val="17CB0D00"/>
    <w:lvl w:ilvl="0" w:tentative="0">
      <w:start w:val="1"/>
      <w:numFmt w:val="japaneseCounting"/>
      <w:lvlText w:val="（%1）"/>
      <w:lvlJc w:val="left"/>
      <w:pPr>
        <w:ind w:left="833" w:hanging="833"/>
      </w:pPr>
      <w:rPr>
        <w:rFonts w:hint="default" w:cstheme="minorBidi"/>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52B404D7"/>
    <w:multiLevelType w:val="multilevel"/>
    <w:tmpl w:val="52B404D7"/>
    <w:lvl w:ilvl="0" w:tentative="0">
      <w:start w:val="1"/>
      <w:numFmt w:val="decimal"/>
      <w:lvlText w:val="%1"/>
      <w:lvlJc w:val="left"/>
      <w:pPr>
        <w:ind w:left="420" w:hanging="42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iNjQ4YWQzNTcyMDVhOTRiMDE2M2RkYTEzYmUyNDMifQ=="/>
  </w:docVars>
  <w:rsids>
    <w:rsidRoot w:val="00731006"/>
    <w:rsid w:val="00004310"/>
    <w:rsid w:val="000237CF"/>
    <w:rsid w:val="0002384E"/>
    <w:rsid w:val="00024A5A"/>
    <w:rsid w:val="00044D85"/>
    <w:rsid w:val="00067E42"/>
    <w:rsid w:val="000725DB"/>
    <w:rsid w:val="000768A2"/>
    <w:rsid w:val="000822A2"/>
    <w:rsid w:val="00087ECB"/>
    <w:rsid w:val="000C6B10"/>
    <w:rsid w:val="000E55E8"/>
    <w:rsid w:val="000E5AF0"/>
    <w:rsid w:val="00107084"/>
    <w:rsid w:val="00117856"/>
    <w:rsid w:val="00120246"/>
    <w:rsid w:val="00120EC1"/>
    <w:rsid w:val="00127EA0"/>
    <w:rsid w:val="00152120"/>
    <w:rsid w:val="001522DA"/>
    <w:rsid w:val="00153C5C"/>
    <w:rsid w:val="001540FD"/>
    <w:rsid w:val="00165AC5"/>
    <w:rsid w:val="001855E5"/>
    <w:rsid w:val="00192565"/>
    <w:rsid w:val="001968D0"/>
    <w:rsid w:val="001A62D5"/>
    <w:rsid w:val="001A7536"/>
    <w:rsid w:val="001A7C82"/>
    <w:rsid w:val="001B4BE3"/>
    <w:rsid w:val="001E1DCA"/>
    <w:rsid w:val="001E786D"/>
    <w:rsid w:val="001E7F53"/>
    <w:rsid w:val="001F3888"/>
    <w:rsid w:val="001F50D6"/>
    <w:rsid w:val="00221D17"/>
    <w:rsid w:val="002232B3"/>
    <w:rsid w:val="00232B1A"/>
    <w:rsid w:val="00246D1F"/>
    <w:rsid w:val="00250243"/>
    <w:rsid w:val="002570D2"/>
    <w:rsid w:val="00260E32"/>
    <w:rsid w:val="00263513"/>
    <w:rsid w:val="0027225C"/>
    <w:rsid w:val="00274DA3"/>
    <w:rsid w:val="00277A91"/>
    <w:rsid w:val="002804ED"/>
    <w:rsid w:val="00285C93"/>
    <w:rsid w:val="0029464E"/>
    <w:rsid w:val="002B0A00"/>
    <w:rsid w:val="002C669C"/>
    <w:rsid w:val="002D4C9A"/>
    <w:rsid w:val="002D6D43"/>
    <w:rsid w:val="002E73BD"/>
    <w:rsid w:val="002F53E3"/>
    <w:rsid w:val="002F56DB"/>
    <w:rsid w:val="00301C3F"/>
    <w:rsid w:val="003514F0"/>
    <w:rsid w:val="0035746B"/>
    <w:rsid w:val="003636AB"/>
    <w:rsid w:val="003647CF"/>
    <w:rsid w:val="00367498"/>
    <w:rsid w:val="00371846"/>
    <w:rsid w:val="00372570"/>
    <w:rsid w:val="00383097"/>
    <w:rsid w:val="00391928"/>
    <w:rsid w:val="00394001"/>
    <w:rsid w:val="003A4001"/>
    <w:rsid w:val="003B3FC0"/>
    <w:rsid w:val="003C0971"/>
    <w:rsid w:val="003C4FFF"/>
    <w:rsid w:val="003D0BEF"/>
    <w:rsid w:val="003E7239"/>
    <w:rsid w:val="004048AD"/>
    <w:rsid w:val="00411736"/>
    <w:rsid w:val="0042301E"/>
    <w:rsid w:val="0044321F"/>
    <w:rsid w:val="004464B3"/>
    <w:rsid w:val="00451A87"/>
    <w:rsid w:val="004604EC"/>
    <w:rsid w:val="0046335C"/>
    <w:rsid w:val="004721FD"/>
    <w:rsid w:val="004801AF"/>
    <w:rsid w:val="0049294E"/>
    <w:rsid w:val="004B49A3"/>
    <w:rsid w:val="004B7E75"/>
    <w:rsid w:val="004C1EC8"/>
    <w:rsid w:val="004C1F5E"/>
    <w:rsid w:val="004C2038"/>
    <w:rsid w:val="004D2B81"/>
    <w:rsid w:val="004E048E"/>
    <w:rsid w:val="004F0C36"/>
    <w:rsid w:val="004F27AD"/>
    <w:rsid w:val="004F7CD1"/>
    <w:rsid w:val="00500DA4"/>
    <w:rsid w:val="00504DC8"/>
    <w:rsid w:val="00516971"/>
    <w:rsid w:val="005449EB"/>
    <w:rsid w:val="0055030B"/>
    <w:rsid w:val="005513FC"/>
    <w:rsid w:val="00567B2D"/>
    <w:rsid w:val="00567CB1"/>
    <w:rsid w:val="00571B4B"/>
    <w:rsid w:val="00574D4F"/>
    <w:rsid w:val="005938FB"/>
    <w:rsid w:val="00596150"/>
    <w:rsid w:val="005B7DE6"/>
    <w:rsid w:val="005C5BA1"/>
    <w:rsid w:val="005D0736"/>
    <w:rsid w:val="006065AA"/>
    <w:rsid w:val="00613227"/>
    <w:rsid w:val="006167A0"/>
    <w:rsid w:val="00623CFF"/>
    <w:rsid w:val="00632906"/>
    <w:rsid w:val="00641328"/>
    <w:rsid w:val="00651AFD"/>
    <w:rsid w:val="00671D65"/>
    <w:rsid w:val="0068282A"/>
    <w:rsid w:val="00682C85"/>
    <w:rsid w:val="00696B85"/>
    <w:rsid w:val="006A6AD9"/>
    <w:rsid w:val="006D4FA6"/>
    <w:rsid w:val="006F597C"/>
    <w:rsid w:val="00706CB2"/>
    <w:rsid w:val="00707008"/>
    <w:rsid w:val="00730A21"/>
    <w:rsid w:val="00731006"/>
    <w:rsid w:val="007556CC"/>
    <w:rsid w:val="00773249"/>
    <w:rsid w:val="007921BC"/>
    <w:rsid w:val="00792AEC"/>
    <w:rsid w:val="007963DF"/>
    <w:rsid w:val="00796D42"/>
    <w:rsid w:val="007A130E"/>
    <w:rsid w:val="007A7F01"/>
    <w:rsid w:val="007B1657"/>
    <w:rsid w:val="007C26B7"/>
    <w:rsid w:val="007C4FE9"/>
    <w:rsid w:val="007E06DA"/>
    <w:rsid w:val="00805E09"/>
    <w:rsid w:val="008112D4"/>
    <w:rsid w:val="008207C7"/>
    <w:rsid w:val="00832772"/>
    <w:rsid w:val="00836E97"/>
    <w:rsid w:val="00841EA4"/>
    <w:rsid w:val="0085403E"/>
    <w:rsid w:val="00862723"/>
    <w:rsid w:val="00863D75"/>
    <w:rsid w:val="008858E7"/>
    <w:rsid w:val="008A2496"/>
    <w:rsid w:val="008D11D8"/>
    <w:rsid w:val="008D604D"/>
    <w:rsid w:val="008D7917"/>
    <w:rsid w:val="008F179F"/>
    <w:rsid w:val="00902DE6"/>
    <w:rsid w:val="00902EDB"/>
    <w:rsid w:val="00914CFB"/>
    <w:rsid w:val="00923471"/>
    <w:rsid w:val="00932B54"/>
    <w:rsid w:val="009705FC"/>
    <w:rsid w:val="00977BCB"/>
    <w:rsid w:val="0098561B"/>
    <w:rsid w:val="00993A69"/>
    <w:rsid w:val="009954F2"/>
    <w:rsid w:val="009B20B2"/>
    <w:rsid w:val="009B6A2C"/>
    <w:rsid w:val="009D5FCA"/>
    <w:rsid w:val="009E27AB"/>
    <w:rsid w:val="009E76B1"/>
    <w:rsid w:val="009F2C4D"/>
    <w:rsid w:val="009F5BCC"/>
    <w:rsid w:val="00A136BB"/>
    <w:rsid w:val="00A13D83"/>
    <w:rsid w:val="00A23C23"/>
    <w:rsid w:val="00A83870"/>
    <w:rsid w:val="00A85D7B"/>
    <w:rsid w:val="00AA2845"/>
    <w:rsid w:val="00AA7370"/>
    <w:rsid w:val="00AB27F1"/>
    <w:rsid w:val="00AB2B69"/>
    <w:rsid w:val="00AB2FCE"/>
    <w:rsid w:val="00AC36AA"/>
    <w:rsid w:val="00AD322A"/>
    <w:rsid w:val="00AF7A02"/>
    <w:rsid w:val="00B13307"/>
    <w:rsid w:val="00B23129"/>
    <w:rsid w:val="00B40E37"/>
    <w:rsid w:val="00B41004"/>
    <w:rsid w:val="00B44470"/>
    <w:rsid w:val="00B54E1E"/>
    <w:rsid w:val="00B83EE0"/>
    <w:rsid w:val="00BA216D"/>
    <w:rsid w:val="00BA2A52"/>
    <w:rsid w:val="00BA6AC4"/>
    <w:rsid w:val="00BC61F0"/>
    <w:rsid w:val="00BD4C0F"/>
    <w:rsid w:val="00BD5723"/>
    <w:rsid w:val="00BD76CA"/>
    <w:rsid w:val="00BE037F"/>
    <w:rsid w:val="00BE60A0"/>
    <w:rsid w:val="00C06D62"/>
    <w:rsid w:val="00C12FCB"/>
    <w:rsid w:val="00C24B0F"/>
    <w:rsid w:val="00C330F4"/>
    <w:rsid w:val="00C53C45"/>
    <w:rsid w:val="00C60A17"/>
    <w:rsid w:val="00C75971"/>
    <w:rsid w:val="00C762CE"/>
    <w:rsid w:val="00C92499"/>
    <w:rsid w:val="00CA1B20"/>
    <w:rsid w:val="00CA4A00"/>
    <w:rsid w:val="00CB1384"/>
    <w:rsid w:val="00CB61C4"/>
    <w:rsid w:val="00CB6DDC"/>
    <w:rsid w:val="00CC6874"/>
    <w:rsid w:val="00CD22C4"/>
    <w:rsid w:val="00CD2AFA"/>
    <w:rsid w:val="00CF2BB9"/>
    <w:rsid w:val="00D104A7"/>
    <w:rsid w:val="00D15DBA"/>
    <w:rsid w:val="00D37D24"/>
    <w:rsid w:val="00D415CE"/>
    <w:rsid w:val="00D533D2"/>
    <w:rsid w:val="00D641CC"/>
    <w:rsid w:val="00D72A89"/>
    <w:rsid w:val="00D737B2"/>
    <w:rsid w:val="00D84827"/>
    <w:rsid w:val="00D86262"/>
    <w:rsid w:val="00D8654B"/>
    <w:rsid w:val="00DA017B"/>
    <w:rsid w:val="00DA622C"/>
    <w:rsid w:val="00DB42CA"/>
    <w:rsid w:val="00DC08C3"/>
    <w:rsid w:val="00DC5F2B"/>
    <w:rsid w:val="00DD099D"/>
    <w:rsid w:val="00DD27BF"/>
    <w:rsid w:val="00DD3CDA"/>
    <w:rsid w:val="00DE592A"/>
    <w:rsid w:val="00E05316"/>
    <w:rsid w:val="00E15967"/>
    <w:rsid w:val="00E16FE1"/>
    <w:rsid w:val="00E26B1D"/>
    <w:rsid w:val="00E37A7A"/>
    <w:rsid w:val="00E55BE5"/>
    <w:rsid w:val="00E744B0"/>
    <w:rsid w:val="00E85D1F"/>
    <w:rsid w:val="00EE0B70"/>
    <w:rsid w:val="00EE1D33"/>
    <w:rsid w:val="00F03660"/>
    <w:rsid w:val="00F264E4"/>
    <w:rsid w:val="00F53442"/>
    <w:rsid w:val="00F54921"/>
    <w:rsid w:val="00F704FE"/>
    <w:rsid w:val="00F850AA"/>
    <w:rsid w:val="00F9467E"/>
    <w:rsid w:val="00F94717"/>
    <w:rsid w:val="00F9693E"/>
    <w:rsid w:val="00FA4A95"/>
    <w:rsid w:val="00FB3D68"/>
    <w:rsid w:val="00FC1A32"/>
    <w:rsid w:val="00FC3FE5"/>
    <w:rsid w:val="00FE168C"/>
    <w:rsid w:val="00FE2BEE"/>
    <w:rsid w:val="00FE7F13"/>
    <w:rsid w:val="01400C69"/>
    <w:rsid w:val="020F487E"/>
    <w:rsid w:val="023D3627"/>
    <w:rsid w:val="02C17BD4"/>
    <w:rsid w:val="02F634A5"/>
    <w:rsid w:val="034C4DB1"/>
    <w:rsid w:val="03605133"/>
    <w:rsid w:val="03B16EFA"/>
    <w:rsid w:val="0459378E"/>
    <w:rsid w:val="063F0A13"/>
    <w:rsid w:val="07CA43E4"/>
    <w:rsid w:val="07D1224B"/>
    <w:rsid w:val="095742E5"/>
    <w:rsid w:val="095F548F"/>
    <w:rsid w:val="0B233E4B"/>
    <w:rsid w:val="0C056DDF"/>
    <w:rsid w:val="0CBA023C"/>
    <w:rsid w:val="0D021748"/>
    <w:rsid w:val="0DAA2F09"/>
    <w:rsid w:val="0E48700C"/>
    <w:rsid w:val="0F680A5F"/>
    <w:rsid w:val="123D518D"/>
    <w:rsid w:val="127B2577"/>
    <w:rsid w:val="12B632E1"/>
    <w:rsid w:val="12EB47F1"/>
    <w:rsid w:val="14082DF4"/>
    <w:rsid w:val="15F835A6"/>
    <w:rsid w:val="1952433A"/>
    <w:rsid w:val="19D13FFF"/>
    <w:rsid w:val="1C0C59AF"/>
    <w:rsid w:val="1D51771C"/>
    <w:rsid w:val="1D886B5D"/>
    <w:rsid w:val="1F4F5502"/>
    <w:rsid w:val="1F5B58A5"/>
    <w:rsid w:val="1F627232"/>
    <w:rsid w:val="1F8C6F93"/>
    <w:rsid w:val="20295BDD"/>
    <w:rsid w:val="207A50E8"/>
    <w:rsid w:val="211A058B"/>
    <w:rsid w:val="211F0573"/>
    <w:rsid w:val="22251365"/>
    <w:rsid w:val="23AA32D5"/>
    <w:rsid w:val="23CA146F"/>
    <w:rsid w:val="26FD0D49"/>
    <w:rsid w:val="27395DE0"/>
    <w:rsid w:val="273D731D"/>
    <w:rsid w:val="27B57D38"/>
    <w:rsid w:val="28A91EA2"/>
    <w:rsid w:val="296D3796"/>
    <w:rsid w:val="29FD638B"/>
    <w:rsid w:val="2AA21F8F"/>
    <w:rsid w:val="2AF413B7"/>
    <w:rsid w:val="2D3B33EE"/>
    <w:rsid w:val="2D731278"/>
    <w:rsid w:val="2E0134AD"/>
    <w:rsid w:val="2E73037E"/>
    <w:rsid w:val="2F063926"/>
    <w:rsid w:val="30671268"/>
    <w:rsid w:val="31C93A88"/>
    <w:rsid w:val="33CC4CA2"/>
    <w:rsid w:val="341D62A5"/>
    <w:rsid w:val="35846BEA"/>
    <w:rsid w:val="35F805F4"/>
    <w:rsid w:val="36EA0114"/>
    <w:rsid w:val="37420806"/>
    <w:rsid w:val="37C345AD"/>
    <w:rsid w:val="37FE377C"/>
    <w:rsid w:val="3A566DA2"/>
    <w:rsid w:val="3BAB62C6"/>
    <w:rsid w:val="3C510C7B"/>
    <w:rsid w:val="3C9915BE"/>
    <w:rsid w:val="3D3E49AF"/>
    <w:rsid w:val="3DCD381A"/>
    <w:rsid w:val="3F42597F"/>
    <w:rsid w:val="3F741BE0"/>
    <w:rsid w:val="3FA622BA"/>
    <w:rsid w:val="3FDD5DD9"/>
    <w:rsid w:val="40A81755"/>
    <w:rsid w:val="44116EF6"/>
    <w:rsid w:val="442C7AAA"/>
    <w:rsid w:val="46515B20"/>
    <w:rsid w:val="48730ED8"/>
    <w:rsid w:val="4A1F16DC"/>
    <w:rsid w:val="4D6F4F13"/>
    <w:rsid w:val="50BF2202"/>
    <w:rsid w:val="50E73C76"/>
    <w:rsid w:val="5267447F"/>
    <w:rsid w:val="530C1D81"/>
    <w:rsid w:val="541C0DB8"/>
    <w:rsid w:val="549057B6"/>
    <w:rsid w:val="54EB0B2C"/>
    <w:rsid w:val="55A3797B"/>
    <w:rsid w:val="57FB3A3A"/>
    <w:rsid w:val="588315C7"/>
    <w:rsid w:val="5A441D8B"/>
    <w:rsid w:val="5A652ED1"/>
    <w:rsid w:val="5B48042D"/>
    <w:rsid w:val="5B8D4072"/>
    <w:rsid w:val="5B9D6319"/>
    <w:rsid w:val="5C1462B1"/>
    <w:rsid w:val="5E960735"/>
    <w:rsid w:val="5F3F2740"/>
    <w:rsid w:val="60BD4004"/>
    <w:rsid w:val="62BC14D0"/>
    <w:rsid w:val="63F40370"/>
    <w:rsid w:val="658B1D37"/>
    <w:rsid w:val="66346B36"/>
    <w:rsid w:val="664E0FB5"/>
    <w:rsid w:val="668C4E54"/>
    <w:rsid w:val="66D25739"/>
    <w:rsid w:val="66EE5C84"/>
    <w:rsid w:val="676E431C"/>
    <w:rsid w:val="69700539"/>
    <w:rsid w:val="69955397"/>
    <w:rsid w:val="699A52B8"/>
    <w:rsid w:val="6D80255D"/>
    <w:rsid w:val="6E99612D"/>
    <w:rsid w:val="6F3F1566"/>
    <w:rsid w:val="70C311EF"/>
    <w:rsid w:val="726B0282"/>
    <w:rsid w:val="726B6897"/>
    <w:rsid w:val="74180ECA"/>
    <w:rsid w:val="74F2077E"/>
    <w:rsid w:val="77AD2C99"/>
    <w:rsid w:val="79B13AF3"/>
    <w:rsid w:val="7BA00C3C"/>
    <w:rsid w:val="7CC01A26"/>
    <w:rsid w:val="7E4707FF"/>
    <w:rsid w:val="7E6235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link w:val="18"/>
    <w:qFormat/>
    <w:uiPriority w:val="9"/>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2"/>
    <w:semiHidden/>
    <w:unhideWhenUsed/>
    <w:qFormat/>
    <w:uiPriority w:val="99"/>
    <w:rPr>
      <w:sz w:val="18"/>
      <w:szCs w:val="18"/>
    </w:rPr>
  </w:style>
  <w:style w:type="paragraph" w:styleId="4">
    <w:name w:val="footer"/>
    <w:basedOn w:val="1"/>
    <w:link w:val="21"/>
    <w:unhideWhenUsed/>
    <w:qFormat/>
    <w:uiPriority w:val="99"/>
    <w:pPr>
      <w:tabs>
        <w:tab w:val="center" w:pos="4153"/>
        <w:tab w:val="right" w:pos="8306"/>
      </w:tabs>
      <w:snapToGrid w:val="0"/>
      <w:jc w:val="left"/>
    </w:pPr>
    <w:rPr>
      <w:sz w:val="18"/>
      <w:szCs w:val="18"/>
    </w:rPr>
  </w:style>
  <w:style w:type="paragraph" w:styleId="5">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jc w:val="left"/>
    </w:pPr>
    <w:rPr>
      <w:rFonts w:cs="Times New Roman"/>
      <w:kern w:val="0"/>
    </w:rPr>
  </w:style>
  <w:style w:type="table" w:styleId="8">
    <w:name w:val="Table Grid"/>
    <w:basedOn w:val="7"/>
    <w:qFormat/>
    <w:uiPriority w:val="59"/>
    <w:rPr>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Strong"/>
    <w:basedOn w:val="9"/>
    <w:qFormat/>
    <w:uiPriority w:val="22"/>
    <w:rPr>
      <w:b/>
      <w:bCs/>
    </w:rPr>
  </w:style>
  <w:style w:type="character" w:styleId="11">
    <w:name w:val="FollowedHyperlink"/>
    <w:basedOn w:val="9"/>
    <w:semiHidden/>
    <w:unhideWhenUsed/>
    <w:qFormat/>
    <w:uiPriority w:val="99"/>
    <w:rPr>
      <w:color w:val="800080"/>
      <w:u w:val="none"/>
    </w:rPr>
  </w:style>
  <w:style w:type="character" w:styleId="12">
    <w:name w:val="Emphasis"/>
    <w:basedOn w:val="9"/>
    <w:qFormat/>
    <w:uiPriority w:val="0"/>
    <w:rPr>
      <w:i/>
    </w:rPr>
  </w:style>
  <w:style w:type="character" w:styleId="13">
    <w:name w:val="HTML Definition"/>
    <w:basedOn w:val="9"/>
    <w:semiHidden/>
    <w:unhideWhenUsed/>
    <w:qFormat/>
    <w:uiPriority w:val="99"/>
    <w:rPr>
      <w:i/>
    </w:rPr>
  </w:style>
  <w:style w:type="character" w:styleId="14">
    <w:name w:val="Hyperlink"/>
    <w:basedOn w:val="9"/>
    <w:qFormat/>
    <w:uiPriority w:val="0"/>
    <w:rPr>
      <w:color w:val="0000FF"/>
      <w:u w:val="single"/>
    </w:rPr>
  </w:style>
  <w:style w:type="character" w:styleId="15">
    <w:name w:val="HTML Code"/>
    <w:basedOn w:val="9"/>
    <w:semiHidden/>
    <w:unhideWhenUsed/>
    <w:qFormat/>
    <w:uiPriority w:val="99"/>
    <w:rPr>
      <w:rFonts w:ascii="Consolas" w:hAnsi="Consolas" w:eastAsia="Consolas" w:cs="Consolas"/>
      <w:color w:val="C7254E"/>
      <w:sz w:val="21"/>
      <w:szCs w:val="21"/>
      <w:shd w:val="clear" w:color="auto" w:fill="F9F2F4"/>
    </w:rPr>
  </w:style>
  <w:style w:type="character" w:styleId="16">
    <w:name w:val="HTML Keyboard"/>
    <w:basedOn w:val="9"/>
    <w:semiHidden/>
    <w:unhideWhenUsed/>
    <w:qFormat/>
    <w:uiPriority w:val="99"/>
    <w:rPr>
      <w:rFonts w:hint="default" w:ascii="Consolas" w:hAnsi="Consolas" w:eastAsia="Consolas" w:cs="Consolas"/>
      <w:color w:val="FFFFFF"/>
      <w:sz w:val="21"/>
      <w:szCs w:val="21"/>
      <w:shd w:val="clear" w:color="auto" w:fill="333333"/>
    </w:rPr>
  </w:style>
  <w:style w:type="character" w:styleId="17">
    <w:name w:val="HTML Sample"/>
    <w:basedOn w:val="9"/>
    <w:semiHidden/>
    <w:unhideWhenUsed/>
    <w:qFormat/>
    <w:uiPriority w:val="99"/>
    <w:rPr>
      <w:rFonts w:hint="default" w:ascii="Consolas" w:hAnsi="Consolas" w:eastAsia="Consolas" w:cs="Consolas"/>
      <w:sz w:val="21"/>
      <w:szCs w:val="21"/>
    </w:rPr>
  </w:style>
  <w:style w:type="character" w:customStyle="1" w:styleId="18">
    <w:name w:val="标题 1 字符"/>
    <w:basedOn w:val="9"/>
    <w:link w:val="2"/>
    <w:qFormat/>
    <w:uiPriority w:val="9"/>
    <w:rPr>
      <w:rFonts w:ascii="Times New Roman" w:hAnsi="Times New Roman" w:cs="Times New Roman"/>
      <w:b/>
      <w:bCs/>
      <w:kern w:val="36"/>
      <w:sz w:val="48"/>
      <w:szCs w:val="48"/>
    </w:rPr>
  </w:style>
  <w:style w:type="paragraph" w:customStyle="1" w:styleId="19">
    <w:name w:val="custom_unionstyle"/>
    <w:basedOn w:val="1"/>
    <w:qFormat/>
    <w:uiPriority w:val="0"/>
    <w:pPr>
      <w:widowControl/>
      <w:spacing w:before="100" w:beforeAutospacing="1" w:after="100" w:afterAutospacing="1"/>
      <w:jc w:val="left"/>
    </w:pPr>
    <w:rPr>
      <w:rFonts w:ascii="Times New Roman" w:hAnsi="Times New Roman" w:cs="Times New Roman"/>
      <w:kern w:val="0"/>
    </w:rPr>
  </w:style>
  <w:style w:type="character" w:customStyle="1" w:styleId="20">
    <w:name w:val="页眉 字符"/>
    <w:basedOn w:val="9"/>
    <w:link w:val="5"/>
    <w:qFormat/>
    <w:uiPriority w:val="99"/>
    <w:rPr>
      <w:sz w:val="18"/>
      <w:szCs w:val="18"/>
    </w:rPr>
  </w:style>
  <w:style w:type="character" w:customStyle="1" w:styleId="21">
    <w:name w:val="页脚 字符"/>
    <w:basedOn w:val="9"/>
    <w:link w:val="4"/>
    <w:qFormat/>
    <w:uiPriority w:val="99"/>
    <w:rPr>
      <w:sz w:val="18"/>
      <w:szCs w:val="18"/>
    </w:rPr>
  </w:style>
  <w:style w:type="character" w:customStyle="1" w:styleId="22">
    <w:name w:val="批注框文本 字符"/>
    <w:basedOn w:val="9"/>
    <w:link w:val="3"/>
    <w:semiHidden/>
    <w:qFormat/>
    <w:uiPriority w:val="99"/>
    <w:rPr>
      <w:kern w:val="2"/>
      <w:sz w:val="18"/>
      <w:szCs w:val="18"/>
    </w:rPr>
  </w:style>
  <w:style w:type="paragraph" w:customStyle="1" w:styleId="23">
    <w:name w:val="p0"/>
    <w:basedOn w:val="1"/>
    <w:qFormat/>
    <w:uiPriority w:val="0"/>
    <w:pPr>
      <w:widowControl/>
    </w:pPr>
    <w:rPr>
      <w:kern w:val="0"/>
      <w:szCs w:val="21"/>
    </w:rPr>
  </w:style>
  <w:style w:type="character" w:customStyle="1" w:styleId="24">
    <w:name w:val="nth-child(1)"/>
    <w:basedOn w:val="9"/>
    <w:qFormat/>
    <w:uiPriority w:val="0"/>
  </w:style>
  <w:style w:type="character" w:customStyle="1" w:styleId="25">
    <w:name w:val="nth-child(1)1"/>
    <w:basedOn w:val="9"/>
    <w:qFormat/>
    <w:uiPriority w:val="0"/>
    <w:rPr>
      <w:bdr w:val="single" w:color="auto" w:sz="12" w:space="0"/>
    </w:rPr>
  </w:style>
  <w:style w:type="character" w:customStyle="1" w:styleId="26">
    <w:name w:val="last-child1"/>
    <w:basedOn w:val="9"/>
    <w:qFormat/>
    <w:uiPriority w:val="0"/>
    <w:rPr>
      <w:color w:val="FB334B"/>
    </w:rPr>
  </w:style>
  <w:style w:type="character" w:customStyle="1" w:styleId="27">
    <w:name w:val="nth-child(3)"/>
    <w:basedOn w:val="9"/>
    <w:qFormat/>
    <w:uiPriority w:val="0"/>
  </w:style>
  <w:style w:type="character" w:customStyle="1" w:styleId="28">
    <w:name w:val="first-child"/>
    <w:basedOn w:val="9"/>
    <w:qFormat/>
    <w:uiPriority w:val="0"/>
    <w:rPr>
      <w:color w:val="999999"/>
    </w:rPr>
  </w:style>
  <w:style w:type="paragraph" w:styleId="29">
    <w:name w:val="List Paragraph"/>
    <w:basedOn w:val="1"/>
    <w:qFormat/>
    <w:uiPriority w:val="34"/>
    <w:pPr>
      <w:ind w:firstLine="420" w:firstLineChars="200"/>
    </w:pPr>
    <w:rPr>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23</Pages>
  <Words>10679</Words>
  <Characters>15273</Characters>
  <Lines>128</Lines>
  <Paragraphs>36</Paragraphs>
  <TotalTime>3</TotalTime>
  <ScaleCrop>false</ScaleCrop>
  <LinksUpToDate>false</LinksUpToDate>
  <CharactersWithSpaces>15850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2020-01-15T09:05:00Z</dcterms:created>
  <dc:creator>hao tong</dc:creator>
  <cp:lastModifiedBy>苍鹰</cp:lastModifiedBy>
  <cp:lastPrinted>2018-12-06T01:39:00Z</cp:lastPrinted>
  <dcterms:modified xsi:type="dcterms:W3CDTF">2023-07-15T00:56:17Z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81AA0C08DD044F1CADCCE6CB2FB86396_13</vt:lpwstr>
  </property>
</Properties>
</file>